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225425</wp:posOffset>
            </wp:positionH>
            <wp:positionV relativeFrom="page">
              <wp:posOffset>328930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405765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7" w:lineRule="exact"/>
        <w:rPr>
          <w:sz w:val="24"/>
          <w:szCs w:val="24"/>
          <w:color w:val="auto"/>
        </w:rPr>
      </w:pPr>
    </w:p>
    <w:p>
      <w:pPr>
        <w:ind w:left="3300" w:right="1640" w:hanging="3292"/>
        <w:spacing w:after="0" w:line="500" w:lineRule="auto"/>
        <w:tabs>
          <w:tab w:leader="none" w:pos="44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2022</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jc w:val="center"/>
        <w:ind w:right="300"/>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4375150</wp:posOffset>
            </wp:positionH>
            <wp:positionV relativeFrom="paragraph">
              <wp:posOffset>-5080</wp:posOffset>
            </wp:positionV>
            <wp:extent cx="1714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4738370</wp:posOffset>
            </wp:positionH>
            <wp:positionV relativeFrom="paragraph">
              <wp:posOffset>-5080</wp:posOffset>
            </wp:positionV>
            <wp:extent cx="1714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001-34600</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TENAX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38"/>
        </w:trPr>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240" w:type="dxa"/>
            <w:vAlign w:val="bottom"/>
            <w:gridSpan w:val="2"/>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26-2593535</w:t>
            </w:r>
          </w:p>
        </w:tc>
      </w:tr>
      <w:tr>
        <w:trPr>
          <w:trHeight w:val="232"/>
        </w:trPr>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(State of incorporation)</w:t>
            </w:r>
          </w:p>
        </w:tc>
        <w:tc>
          <w:tcPr>
            <w:tcW w:w="940" w:type="dxa"/>
            <w:vAlign w:val="bottom"/>
          </w:tcPr>
          <w:p>
            <w:pPr>
              <w:spacing w:after="0"/>
              <w:rPr>
                <w:sz w:val="20"/>
                <w:szCs w:val="20"/>
                <w:color w:val="auto"/>
              </w:rPr>
            </w:pPr>
          </w:p>
        </w:tc>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(I.R.S. Employer Identification No.)</w:t>
            </w:r>
          </w:p>
        </w:tc>
      </w:tr>
    </w:tbl>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ONE Copley Parkway, Suite 490, Morrisville, North Carolina 27560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(919) 855-2100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7"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3" w:lineRule="exact"/>
        <w:rPr>
          <w:sz w:val="24"/>
          <w:szCs w:val="24"/>
          <w:color w:val="auto"/>
        </w:rPr>
      </w:pPr>
    </w:p>
    <w:tbl>
      <w:tblPr>
        <w:tblLayout w:type="fixed"/>
        <w:tblInd w:w="10" w:type="dxa"/>
        <w:tblCellMar>
          <w:top w:w="0" w:type="dxa"/>
          <w:left w:w="0" w:type="dxa"/>
          <w:bottom w:w="0" w:type="dxa"/>
          <w:right w:w="0" w:type="dxa"/>
        </w:tblCellMar>
      </w:tblPr>
      <w:tr>
        <w:trPr>
          <w:trHeight w:val="252"/>
        </w:trPr>
        <w:tc>
          <w:tcPr>
            <w:tcW w:w="39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3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37"/>
        </w:trPr>
        <w:tc>
          <w:tcPr>
            <w:tcW w:w="3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3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TENX</w:t>
            </w:r>
          </w:p>
        </w:tc>
        <w:tc>
          <w:tcPr>
            <w:tcW w:w="3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198" w:lineRule="exact"/>
        <w:rPr>
          <w:sz w:val="24"/>
          <w:szCs w:val="24"/>
          <w:color w:val="auto"/>
        </w:rPr>
      </w:pPr>
    </w:p>
    <w:p>
      <w:pPr>
        <w:jc w:val="both"/>
        <w:ind w:right="60" w:firstLine="607"/>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ind w:right="260" w:firstLine="607"/>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ind w:right="140" w:firstLine="60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4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1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328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78" w:lineRule="exact"/>
        <w:rPr>
          <w:sz w:val="24"/>
          <w:szCs w:val="24"/>
          <w:color w:val="auto"/>
        </w:rPr>
      </w:pPr>
    </w:p>
    <w:p>
      <w:pPr>
        <w:ind w:right="200" w:firstLine="607"/>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620"/>
        <w:spacing w:after="0" w:line="207" w:lineRule="exact"/>
        <w:tabs>
          <w:tab w:leader="none" w:pos="9600" w:val="left"/>
        </w:tabs>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by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4"/>
          <w:szCs w:val="24"/>
          <w:color w:val="auto"/>
        </w:rPr>
      </w:pPr>
    </w:p>
    <w:p>
      <w:pPr>
        <w:ind w:left="620"/>
        <w:spacing w:after="0"/>
        <w:rPr>
          <w:sz w:val="20"/>
          <w:szCs w:val="20"/>
          <w:color w:val="auto"/>
        </w:rPr>
      </w:pPr>
      <w:r>
        <w:rPr>
          <w:rFonts w:ascii="Times New Roman" w:cs="Times New Roman" w:eastAsia="Times New Roman" w:hAnsi="Times New Roman"/>
          <w:sz w:val="18"/>
          <w:szCs w:val="18"/>
          <w:color w:val="auto"/>
        </w:rPr>
        <w:t>As of May 12, 2022 the registrant had outstanding 25,206,914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188595</wp:posOffset>
            </wp:positionV>
            <wp:extent cx="709803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240030</wp:posOffset>
            </wp:positionV>
            <wp:extent cx="709803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562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14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PART I. FINANCIAL INFORMATION</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9"/>
        </w:trPr>
        <w:tc>
          <w:tcPr>
            <w:tcW w:w="10140" w:type="dxa"/>
            <w:vAlign w:val="bottom"/>
            <w:gridSpan w:val="8"/>
            <w:vMerge w:val="continue"/>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1.</w:t>
            </w:r>
          </w:p>
        </w:tc>
        <w:tc>
          <w:tcPr>
            <w:tcW w:w="640" w:type="dxa"/>
            <w:vAlign w:val="bottom"/>
            <w:tcBorders>
              <w:bottom w:val="single" w:sz="8" w:color="CCEEFF"/>
            </w:tcBorders>
            <w:shd w:val="clear" w:color="auto" w:fill="CCEEFF"/>
          </w:tcPr>
          <w:p>
            <w:pPr>
              <w:spacing w:after="0"/>
              <w:rPr>
                <w:sz w:val="17"/>
                <w:szCs w:val="17"/>
                <w:color w:val="auto"/>
              </w:rPr>
            </w:pPr>
          </w:p>
        </w:tc>
        <w:tc>
          <w:tcPr>
            <w:tcW w:w="33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Financial Statements</w:t>
            </w:r>
          </w:p>
        </w:tc>
        <w:tc>
          <w:tcPr>
            <w:tcW w:w="5620" w:type="dxa"/>
            <w:vAlign w:val="bottom"/>
            <w:tcBorders>
              <w:bottom w:val="single" w:sz="8" w:color="CCEEFF"/>
            </w:tcBorders>
            <w:gridSpan w:val="3"/>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76"/>
        </w:trPr>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980" w:type="dxa"/>
            <w:vAlign w:val="bottom"/>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March 31, 2022 (Unaudited) and December 31, 2021</w:t>
            </w:r>
          </w:p>
        </w:tc>
        <w:tc>
          <w:tcPr>
            <w:tcW w:w="11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8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1440" w:type="dxa"/>
            <w:vAlign w:val="bottom"/>
            <w:tcBorders>
              <w:top w:val="single" w:sz="8" w:color="0000EE"/>
            </w:tcBorders>
          </w:tcPr>
          <w:p>
            <w:pPr>
              <w:spacing w:after="0" w:line="20" w:lineRule="exact"/>
              <w:rPr>
                <w:sz w:val="1"/>
                <w:szCs w:val="1"/>
                <w:color w:val="auto"/>
              </w:rPr>
            </w:pPr>
          </w:p>
        </w:tc>
        <w:tc>
          <w:tcPr>
            <w:tcW w:w="3840" w:type="dxa"/>
            <w:vAlign w:val="bottom"/>
            <w:tcBorders>
              <w:top w:val="single" w:sz="8" w:color="0000EE"/>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2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spacing w:after="0"/>
              <w:rPr>
                <w:sz w:val="15"/>
                <w:szCs w:val="15"/>
                <w:color w:val="auto"/>
              </w:rPr>
            </w:pPr>
          </w:p>
        </w:tc>
        <w:tc>
          <w:tcPr>
            <w:tcW w:w="858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Condensed Consolidated Statements of Comprehensive Loss (Unaudited) for the Three Months Ended March 31, 2022</w:t>
            </w:r>
          </w:p>
        </w:tc>
        <w:tc>
          <w:tcPr>
            <w:tcW w:w="4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980" w:type="dxa"/>
            <w:vAlign w:val="bottom"/>
            <w:gridSpan w:val="6"/>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and 2021</w:t>
            </w:r>
          </w:p>
        </w:tc>
        <w:tc>
          <w:tcPr>
            <w:tcW w:w="1100" w:type="dxa"/>
            <w:vAlign w:val="bottom"/>
            <w:gridSpan w:val="2"/>
            <w:shd w:val="clear" w:color="auto" w:fill="CCEEFF"/>
          </w:tcPr>
          <w:p>
            <w:pPr>
              <w:jc w:val="right"/>
              <w:ind w:right="100"/>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CCEEFF"/>
            </w:tcBorders>
            <w:shd w:val="clear" w:color="auto" w:fill="CCEEFF"/>
          </w:tcPr>
          <w:p>
            <w:pPr>
              <w:spacing w:after="0" w:line="20" w:lineRule="exact"/>
              <w:rPr>
                <w:sz w:val="1"/>
                <w:szCs w:val="1"/>
                <w:color w:val="auto"/>
              </w:rPr>
            </w:pPr>
          </w:p>
        </w:tc>
        <w:tc>
          <w:tcPr>
            <w:tcW w:w="38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64" w:orient="portrait"/>
          <w:cols w:equalWidth="0" w:num="1">
            <w:col w:w="11240"/>
          </w:cols>
          <w:pgMar w:left="320" w:top="887" w:right="3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86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(Unaudited) for the Three Months Ended March 31, 2022</w:t>
            </w:r>
          </w:p>
        </w:tc>
        <w:tc>
          <w:tcPr>
            <w:tcW w:w="120" w:type="dxa"/>
            <w:vAlign w:val="bottom"/>
          </w:tcPr>
          <w:p>
            <w:pPr>
              <w:spacing w:after="0"/>
              <w:rPr>
                <w:sz w:val="17"/>
                <w:szCs w:val="17"/>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540" w:type="dxa"/>
            <w:vAlign w:val="bottom"/>
            <w:tcBorders>
              <w:top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and 2021</w:t>
            </w:r>
          </w:p>
        </w:tc>
        <w:tc>
          <w:tcPr>
            <w:tcW w:w="10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860" w:type="dxa"/>
            <w:vAlign w:val="bottom"/>
            <w:gridSpan w:val="1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 for the three Months Ended March 31, 2022 and 2021</w:t>
            </w: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76"/>
        </w:trPr>
        <w:tc>
          <w:tcPr>
            <w:tcW w:w="52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520" w:type="dxa"/>
            <w:vAlign w:val="bottom"/>
            <w:tcBorders>
              <w:top w:val="single" w:sz="8" w:color="CCEEFF"/>
            </w:tcBorders>
          </w:tcPr>
          <w:p>
            <w:pPr>
              <w:spacing w:after="0"/>
              <w:rPr>
                <w:sz w:val="15"/>
                <w:szCs w:val="15"/>
                <w:color w:val="auto"/>
              </w:rPr>
            </w:pPr>
          </w:p>
        </w:tc>
        <w:tc>
          <w:tcPr>
            <w:tcW w:w="754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100" w:type="dxa"/>
            <w:vAlign w:val="bottom"/>
            <w:tcBorders>
              <w:top w:val="single" w:sz="8" w:color="0000EE"/>
            </w:tcBorders>
          </w:tcPr>
          <w:p>
            <w:pPr>
              <w:spacing w:after="0"/>
              <w:rPr>
                <w:sz w:val="15"/>
                <w:szCs w:val="15"/>
                <w:color w:val="auto"/>
              </w:rPr>
            </w:pPr>
          </w:p>
        </w:tc>
        <w:tc>
          <w:tcPr>
            <w:tcW w:w="920" w:type="dxa"/>
            <w:vAlign w:val="bottom"/>
            <w:tcBorders>
              <w:top w:val="single" w:sz="8" w:color="0000EE"/>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2.</w:t>
            </w:r>
          </w:p>
        </w:tc>
        <w:tc>
          <w:tcPr>
            <w:tcW w:w="640" w:type="dxa"/>
            <w:vAlign w:val="bottom"/>
            <w:gridSpan w:val="2"/>
            <w:shd w:val="clear" w:color="auto" w:fill="CCEEFF"/>
          </w:tcPr>
          <w:p>
            <w:pPr>
              <w:spacing w:after="0"/>
              <w:rPr>
                <w:sz w:val="17"/>
                <w:szCs w:val="17"/>
                <w:color w:val="auto"/>
              </w:rPr>
            </w:pPr>
          </w:p>
        </w:tc>
        <w:tc>
          <w:tcPr>
            <w:tcW w:w="75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76"/>
        </w:trPr>
        <w:tc>
          <w:tcPr>
            <w:tcW w:w="520" w:type="dxa"/>
            <w:vAlign w:val="bottom"/>
            <w:tcBorders>
              <w:top w:val="single" w:sz="8" w:color="0000EE"/>
            </w:tcBorders>
          </w:tcPr>
          <w:p>
            <w:pPr>
              <w:spacing w:after="0" w:line="176" w:lineRule="exact"/>
              <w:rPr>
                <w:sz w:val="20"/>
                <w:szCs w:val="20"/>
                <w:color w:val="auto"/>
              </w:rPr>
            </w:pPr>
            <w:r>
              <w:rPr>
                <w:rFonts w:ascii="Times New Roman" w:cs="Times New Roman" w:eastAsia="Times New Roman" w:hAnsi="Times New Roman"/>
                <w:sz w:val="18"/>
                <w:szCs w:val="18"/>
                <w:color w:val="0000EE"/>
                <w:w w:val="97"/>
              </w:rPr>
              <w:t>Item 3.</w:t>
            </w:r>
          </w:p>
        </w:tc>
        <w:tc>
          <w:tcPr>
            <w:tcW w:w="640" w:type="dxa"/>
            <w:vAlign w:val="bottom"/>
            <w:tcBorders>
              <w:top w:val="single" w:sz="8" w:color="CCEEFF"/>
            </w:tcBorders>
            <w:gridSpan w:val="2"/>
          </w:tcPr>
          <w:p>
            <w:pPr>
              <w:spacing w:after="0"/>
              <w:rPr>
                <w:sz w:val="15"/>
                <w:szCs w:val="15"/>
                <w:color w:val="auto"/>
              </w:rPr>
            </w:pPr>
          </w:p>
        </w:tc>
        <w:tc>
          <w:tcPr>
            <w:tcW w:w="6460" w:type="dxa"/>
            <w:vAlign w:val="bottom"/>
            <w:tcBorders>
              <w:top w:val="single" w:sz="8" w:color="0000EE"/>
            </w:tcBorders>
            <w:gridSpan w:val="10"/>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08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92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60" w:type="dxa"/>
            <w:vAlign w:val="bottom"/>
            <w:tcBorders>
              <w:top w:val="single" w:sz="8" w:color="CCEEFF"/>
            </w:tcBorders>
          </w:tcPr>
          <w:p>
            <w:pPr>
              <w:spacing w:after="0"/>
              <w:rPr>
                <w:sz w:val="15"/>
                <w:szCs w:val="15"/>
                <w:color w:val="auto"/>
              </w:rPr>
            </w:pPr>
          </w:p>
        </w:tc>
        <w:tc>
          <w:tcPr>
            <w:tcW w:w="20" w:type="dxa"/>
            <w:vAlign w:val="bottom"/>
            <w:tcBorders>
              <w:top w:val="single" w:sz="8" w:color="CCEEFF"/>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100" w:type="dxa"/>
            <w:vAlign w:val="bottom"/>
            <w:tcBorders>
              <w:top w:val="single" w:sz="8" w:color="CCEEFF"/>
            </w:tcBorders>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5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4.</w:t>
            </w:r>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178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5760" w:type="dxa"/>
            <w:vAlign w:val="bottom"/>
            <w:tcBorders>
              <w:bottom w:val="single" w:sz="8" w:color="CCEEFF"/>
            </w:tcBorders>
            <w:gridSpan w:val="4"/>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391"/>
        </w:trPr>
        <w:tc>
          <w:tcPr>
            <w:tcW w:w="87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7"/>
              </w:rPr>
              <w:t>Item 1.</w:t>
            </w:r>
          </w:p>
        </w:tc>
        <w:tc>
          <w:tcPr>
            <w:tcW w:w="640" w:type="dxa"/>
            <w:vAlign w:val="bottom"/>
            <w:gridSpan w:val="2"/>
            <w:shd w:val="clear" w:color="auto" w:fill="CCEEFF"/>
          </w:tcPr>
          <w:p>
            <w:pPr>
              <w:spacing w:after="0"/>
              <w:rPr>
                <w:sz w:val="15"/>
                <w:szCs w:val="15"/>
                <w:color w:val="auto"/>
              </w:rPr>
            </w:pPr>
          </w:p>
        </w:tc>
        <w:tc>
          <w:tcPr>
            <w:tcW w:w="75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5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6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Item 1A.</w:t>
            </w:r>
          </w:p>
        </w:tc>
        <w:tc>
          <w:tcPr>
            <w:tcW w:w="754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5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Item 6.</w:t>
            </w:r>
          </w:p>
        </w:tc>
        <w:tc>
          <w:tcPr>
            <w:tcW w:w="754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16"/>
        </w:trPr>
        <w:tc>
          <w:tcPr>
            <w:tcW w:w="5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20" w:type="dxa"/>
            <w:vAlign w:val="bottom"/>
            <w:tcBorders>
              <w:top w:val="single" w:sz="8" w:color="CCEEFF"/>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5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60" w:type="dxa"/>
            <w:vAlign w:val="bottom"/>
            <w:tcBorders>
              <w:bottom w:val="single" w:sz="8" w:color="0000EE"/>
            </w:tcBorders>
            <w:gridSpan w:val="3"/>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7"/>
              </w:rPr>
              <w:t>SIGNATURES</w:t>
            </w:r>
          </w:p>
        </w:tc>
        <w:tc>
          <w:tcPr>
            <w:tcW w:w="1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25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54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2"/>
            <w:shd w:val="clear" w:color="auto" w:fill="CCEEFF"/>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648"/>
        </w:trPr>
        <w:tc>
          <w:tcPr>
            <w:tcW w:w="5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20" w:type="dxa"/>
            <w:vAlign w:val="bottom"/>
            <w:tcBorders>
              <w:top w:val="single" w:sz="8" w:color="CCEEFF"/>
              <w:bottom w:val="single" w:sz="8" w:color="auto"/>
            </w:tcBorders>
          </w:tcPr>
          <w:p>
            <w:pPr>
              <w:spacing w:after="0"/>
              <w:rPr>
                <w:sz w:val="24"/>
                <w:szCs w:val="24"/>
                <w:color w:val="auto"/>
              </w:rPr>
            </w:pPr>
          </w:p>
        </w:tc>
        <w:tc>
          <w:tcPr>
            <w:tcW w:w="4920" w:type="dxa"/>
            <w:vAlign w:val="bottom"/>
            <w:tcBorders>
              <w:top w:val="single" w:sz="8" w:color="CCEEFF"/>
              <w:bottom w:val="single" w:sz="8" w:color="auto"/>
            </w:tcBorders>
            <w:gridSpan w:val="9"/>
          </w:tcPr>
          <w:p>
            <w:pPr>
              <w:jc w:val="center"/>
              <w:ind w:left="3910"/>
              <w:spacing w:after="0"/>
              <w:rPr>
                <w:sz w:val="20"/>
                <w:szCs w:val="20"/>
                <w:color w:val="auto"/>
              </w:rPr>
            </w:pPr>
            <w:r>
              <w:rPr>
                <w:rFonts w:ascii="Times New Roman" w:cs="Times New Roman" w:eastAsia="Times New Roman" w:hAnsi="Times New Roman"/>
                <w:sz w:val="18"/>
                <w:szCs w:val="18"/>
                <w:color w:val="auto"/>
                <w:w w:val="88"/>
              </w:rPr>
              <w:t>2</w:t>
            </w:r>
          </w:p>
        </w:tc>
        <w:tc>
          <w:tcPr>
            <w:tcW w:w="1540" w:type="dxa"/>
            <w:vAlign w:val="bottom"/>
            <w:tcBorders>
              <w:top w:val="single" w:sz="8" w:color="CCEEFF"/>
              <w:bottom w:val="single" w:sz="8" w:color="auto"/>
            </w:tcBorders>
          </w:tcPr>
          <w:p>
            <w:pPr>
              <w:spacing w:after="0"/>
              <w:rPr>
                <w:sz w:val="24"/>
                <w:szCs w:val="24"/>
                <w:color w:val="auto"/>
              </w:rPr>
            </w:pPr>
          </w:p>
        </w:tc>
        <w:tc>
          <w:tcPr>
            <w:tcW w:w="108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9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00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8700" w:type="dxa"/>
            <w:vAlign w:val="bottom"/>
            <w:gridSpan w:val="14"/>
          </w:tcPr>
          <w:p>
            <w:pPr>
              <w:spacing w:after="0"/>
              <w:rPr>
                <w:sz w:val="20"/>
                <w:szCs w:val="20"/>
                <w:color w:val="auto"/>
              </w:rPr>
            </w:pPr>
            <w:r>
              <w:rPr>
                <w:rFonts w:ascii="Times New Roman" w:cs="Times New Roman" w:eastAsia="Times New Roman" w:hAnsi="Times New Roman"/>
                <w:sz w:val="18"/>
                <w:szCs w:val="18"/>
                <w:i w:val="1"/>
                <w:iCs w:val="1"/>
                <w:color w:val="0000EE"/>
              </w:rPr>
              <w:t>Table Of Contents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6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7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6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TENAX THERAPEUTICS, INC.</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760" w:type="dxa"/>
            <w:vAlign w:val="bottom"/>
            <w:gridSpan w:val="4"/>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200" w:type="dxa"/>
            <w:vAlign w:val="bottom"/>
            <w:vMerge w:val="restart"/>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760" w:type="dxa"/>
            <w:vAlign w:val="bottom"/>
            <w:gridSpan w:val="4"/>
            <w:vMerge w:val="restart"/>
          </w:tcPr>
          <w:p>
            <w:pPr>
              <w:jc w:val="center"/>
              <w:ind w:right="30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0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vMerge w:val="continue"/>
          </w:tcPr>
          <w:p>
            <w:pPr>
              <w:spacing w:after="0"/>
              <w:rPr>
                <w:sz w:val="20"/>
                <w:szCs w:val="20"/>
                <w:color w:val="auto"/>
              </w:rPr>
            </w:pPr>
          </w:p>
        </w:tc>
        <w:tc>
          <w:tcPr>
            <w:tcW w:w="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11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760" w:type="dxa"/>
            <w:vAlign w:val="bottom"/>
            <w:gridSpan w:val="4"/>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16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2,868,684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5,583,922</w:t>
            </w:r>
          </w:p>
        </w:tc>
        <w:tc>
          <w:tcPr>
            <w:tcW w:w="0" w:type="dxa"/>
            <w:vAlign w:val="bottom"/>
          </w:tcPr>
          <w:p>
            <w:pPr>
              <w:spacing w:after="0"/>
              <w:rPr>
                <w:sz w:val="1"/>
                <w:szCs w:val="1"/>
                <w:color w:val="auto"/>
              </w:rPr>
            </w:pPr>
          </w:p>
        </w:tc>
      </w:tr>
      <w:tr>
        <w:trPr>
          <w:trHeight w:val="216"/>
        </w:trPr>
        <w:tc>
          <w:tcPr>
            <w:tcW w:w="8700" w:type="dxa"/>
            <w:vAlign w:val="bottom"/>
            <w:gridSpan w:val="14"/>
          </w:tcPr>
          <w:p>
            <w:pPr>
              <w:ind w:left="420"/>
              <w:spacing w:after="0"/>
              <w:rPr>
                <w:sz w:val="20"/>
                <w:szCs w:val="20"/>
                <w:color w:val="auto"/>
              </w:rPr>
            </w:pPr>
            <w:r>
              <w:rPr>
                <w:rFonts w:ascii="Times New Roman" w:cs="Times New Roman" w:eastAsia="Times New Roman" w:hAnsi="Times New Roman"/>
                <w:sz w:val="18"/>
                <w:szCs w:val="18"/>
                <w:color w:val="auto"/>
              </w:rPr>
              <w:t>Prepaid expenses</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586,987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tcBorders>
              <w:bottom w:val="single" w:sz="8" w:color="CCEEFF"/>
            </w:tcBorders>
            <w:gridSpan w:val="1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3,455,671</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5,689,000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Right of use asset</w:t>
            </w:r>
          </w:p>
        </w:tc>
        <w:tc>
          <w:tcPr>
            <w:tcW w:w="100" w:type="dxa"/>
            <w:vAlign w:val="bottom"/>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261,435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287,692</w:t>
            </w:r>
          </w:p>
        </w:tc>
        <w:tc>
          <w:tcPr>
            <w:tcW w:w="0" w:type="dxa"/>
            <w:vAlign w:val="bottom"/>
          </w:tcPr>
          <w:p>
            <w:pPr>
              <w:spacing w:after="0"/>
              <w:rPr>
                <w:sz w:val="1"/>
                <w:szCs w:val="1"/>
                <w:color w:val="auto"/>
              </w:rPr>
            </w:pPr>
          </w:p>
        </w:tc>
      </w:tr>
      <w:tr>
        <w:trPr>
          <w:trHeight w:val="216"/>
        </w:trPr>
        <w:tc>
          <w:tcPr>
            <w:tcW w:w="87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20" w:type="dxa"/>
            <w:vAlign w:val="bottom"/>
            <w:gridSpan w:val="5"/>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12,078</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7,108</w:t>
            </w:r>
          </w:p>
        </w:tc>
        <w:tc>
          <w:tcPr>
            <w:tcW w:w="0" w:type="dxa"/>
            <w:vAlign w:val="bottom"/>
          </w:tcPr>
          <w:p>
            <w:pPr>
              <w:spacing w:after="0"/>
              <w:rPr>
                <w:sz w:val="1"/>
                <w:szCs w:val="1"/>
                <w:color w:val="auto"/>
              </w:rPr>
            </w:pPr>
          </w:p>
        </w:tc>
      </w:tr>
      <w:tr>
        <w:trPr>
          <w:trHeight w:val="216"/>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1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58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154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3,737,619</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5,992,235</w:t>
            </w:r>
          </w:p>
        </w:tc>
        <w:tc>
          <w:tcPr>
            <w:tcW w:w="0" w:type="dxa"/>
            <w:vAlign w:val="bottom"/>
          </w:tcPr>
          <w:p>
            <w:pPr>
              <w:spacing w:after="0"/>
              <w:rPr>
                <w:sz w:val="1"/>
                <w:szCs w:val="1"/>
                <w:color w:val="auto"/>
              </w:rPr>
            </w:pPr>
          </w:p>
        </w:tc>
      </w:tr>
      <w:tr>
        <w:trPr>
          <w:trHeight w:val="394"/>
        </w:trPr>
        <w:tc>
          <w:tcPr>
            <w:tcW w:w="5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6620" w:type="dxa"/>
            <w:vAlign w:val="bottom"/>
            <w:tcBorders>
              <w:top w:val="single" w:sz="8" w:color="CCEEFF"/>
            </w:tcBorders>
            <w:gridSpan w:val="7"/>
          </w:tcPr>
          <w:p>
            <w:pPr>
              <w:jc w:val="center"/>
              <w:ind w:right="218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700" w:type="dxa"/>
            <w:vAlign w:val="bottom"/>
            <w:gridSpan w:val="1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1,287,126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859,638</w:t>
            </w:r>
          </w:p>
        </w:tc>
        <w:tc>
          <w:tcPr>
            <w:tcW w:w="0" w:type="dxa"/>
            <w:vAlign w:val="bottom"/>
          </w:tcPr>
          <w:p>
            <w:pPr>
              <w:spacing w:after="0"/>
              <w:rPr>
                <w:sz w:val="1"/>
                <w:szCs w:val="1"/>
                <w:color w:val="auto"/>
              </w:rPr>
            </w:pPr>
          </w:p>
        </w:tc>
      </w:tr>
      <w:tr>
        <w:trPr>
          <w:trHeight w:val="216"/>
        </w:trPr>
        <w:tc>
          <w:tcPr>
            <w:tcW w:w="8700" w:type="dxa"/>
            <w:vAlign w:val="bottom"/>
            <w:gridSpan w:val="14"/>
          </w:tcPr>
          <w:p>
            <w:pPr>
              <w:ind w:left="420"/>
              <w:spacing w:after="0"/>
              <w:rPr>
                <w:sz w:val="20"/>
                <w:szCs w:val="20"/>
                <w:color w:val="auto"/>
              </w:rPr>
            </w:pPr>
            <w:r>
              <w:rPr>
                <w:rFonts w:ascii="Times New Roman" w:cs="Times New Roman" w:eastAsia="Times New Roman" w:hAnsi="Times New Roman"/>
                <w:sz w:val="18"/>
                <w:szCs w:val="18"/>
                <w:color w:val="auto"/>
              </w:rPr>
              <w:t>Accrued liabilities</w:t>
            </w:r>
          </w:p>
        </w:tc>
        <w:tc>
          <w:tcPr>
            <w:tcW w:w="100" w:type="dxa"/>
            <w:vAlign w:val="bottom"/>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460,506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704,340</w:t>
            </w:r>
          </w:p>
        </w:tc>
        <w:tc>
          <w:tcPr>
            <w:tcW w:w="0" w:type="dxa"/>
            <w:vAlign w:val="bottom"/>
          </w:tcPr>
          <w:p>
            <w:pPr>
              <w:spacing w:after="0"/>
              <w:rPr>
                <w:sz w:val="1"/>
                <w:szCs w:val="1"/>
                <w:color w:val="auto"/>
              </w:rPr>
            </w:pPr>
          </w:p>
        </w:tc>
      </w:tr>
      <w:tr>
        <w:trPr>
          <w:trHeight w:val="216"/>
        </w:trPr>
        <w:tc>
          <w:tcPr>
            <w:tcW w:w="8700" w:type="dxa"/>
            <w:vAlign w:val="bottom"/>
            <w:tcBorders>
              <w:bottom w:val="single" w:sz="8" w:color="CCEEFF"/>
            </w:tcBorders>
            <w:gridSpan w:val="1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Note payable</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228,762</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gridSpan w:val="14"/>
          </w:tcPr>
          <w:p>
            <w:pPr>
              <w:ind w:left="1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1,976,394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1,563,978</w:t>
            </w:r>
          </w:p>
        </w:tc>
        <w:tc>
          <w:tcPr>
            <w:tcW w:w="0" w:type="dxa"/>
            <w:vAlign w:val="bottom"/>
          </w:tcPr>
          <w:p>
            <w:pPr>
              <w:spacing w:after="0"/>
              <w:rPr>
                <w:sz w:val="1"/>
                <w:szCs w:val="1"/>
                <w:color w:val="auto"/>
              </w:rPr>
            </w:pPr>
          </w:p>
        </w:tc>
      </w:tr>
      <w:tr>
        <w:trPr>
          <w:trHeight w:val="216"/>
        </w:trPr>
        <w:tc>
          <w:tcPr>
            <w:tcW w:w="87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liabilities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4"/>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155,024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700" w:type="dxa"/>
            <w:vAlign w:val="bottom"/>
            <w:tcBorders>
              <w:bottom w:val="single" w:sz="8" w:color="CCEEFF"/>
            </w:tcBorders>
            <w:gridSpan w:val="14"/>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155,024</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183,589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2,131,418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1,747,567</w:t>
            </w:r>
          </w:p>
        </w:tc>
        <w:tc>
          <w:tcPr>
            <w:tcW w:w="0" w:type="dxa"/>
            <w:vAlign w:val="bottom"/>
          </w:tcPr>
          <w:p>
            <w:pPr>
              <w:spacing w:after="0"/>
              <w:rPr>
                <w:sz w:val="1"/>
                <w:szCs w:val="1"/>
                <w:color w:val="auto"/>
              </w:rPr>
            </w:pPr>
          </w:p>
        </w:tc>
      </w:tr>
      <w:tr>
        <w:trPr>
          <w:trHeight w:val="216"/>
        </w:trPr>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Commitments and contingencies; see Note 8</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Preferred stock, undesignated, authorized 4,818,654 shares; See Note 9</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700" w:type="dxa"/>
            <w:vAlign w:val="bottom"/>
            <w:gridSpan w:val="14"/>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Series A Preferred stock, par value $0.0001, issued 5,181,346 shares; outstanding 210 as of March 31, 2022 and</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7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100" w:type="dxa"/>
            <w:vAlign w:val="bottom"/>
            <w:shd w:val="clear" w:color="auto" w:fill="CCEEFF"/>
          </w:tcPr>
          <w:p>
            <w:pPr>
              <w:spacing w:after="0"/>
              <w:rPr>
                <w:sz w:val="20"/>
                <w:szCs w:val="20"/>
                <w:color w:val="auto"/>
              </w:rPr>
            </w:pP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8700" w:type="dxa"/>
            <w:vAlign w:val="bottom"/>
            <w:gridSpan w:val="14"/>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$0.0001 per share; authorized 400,000,000 shares; issued and outstanding 25,206,914 as of</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March 31, 2022 and December 31, 2021 respectively</w:t>
            </w:r>
          </w:p>
        </w:tc>
        <w:tc>
          <w:tcPr>
            <w:tcW w:w="100" w:type="dxa"/>
            <w:vAlign w:val="bottom"/>
          </w:tcPr>
          <w:p>
            <w:pPr>
              <w:spacing w:after="0"/>
              <w:rPr>
                <w:sz w:val="20"/>
                <w:szCs w:val="20"/>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2,521</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2,521</w:t>
            </w:r>
          </w:p>
        </w:tc>
        <w:tc>
          <w:tcPr>
            <w:tcW w:w="0" w:type="dxa"/>
            <w:vAlign w:val="bottom"/>
          </w:tcPr>
          <w:p>
            <w:pPr>
              <w:spacing w:after="0"/>
              <w:rPr>
                <w:sz w:val="1"/>
                <w:szCs w:val="1"/>
                <w:color w:val="auto"/>
              </w:rPr>
            </w:pPr>
          </w:p>
        </w:tc>
      </w:tr>
      <w:tr>
        <w:trPr>
          <w:trHeight w:val="216"/>
        </w:trPr>
        <w:tc>
          <w:tcPr>
            <w:tcW w:w="8700" w:type="dxa"/>
            <w:vAlign w:val="bottom"/>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20" w:type="dxa"/>
            <w:vAlign w:val="bottom"/>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282,819,401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282,736,332</w:t>
            </w:r>
          </w:p>
        </w:tc>
        <w:tc>
          <w:tcPr>
            <w:tcW w:w="0" w:type="dxa"/>
            <w:vAlign w:val="bottom"/>
          </w:tcPr>
          <w:p>
            <w:pPr>
              <w:spacing w:after="0"/>
              <w:rPr>
                <w:sz w:val="1"/>
                <w:szCs w:val="1"/>
                <w:color w:val="auto"/>
              </w:rPr>
            </w:pPr>
          </w:p>
        </w:tc>
      </w:tr>
      <w:tr>
        <w:trPr>
          <w:trHeight w:val="216"/>
        </w:trPr>
        <w:tc>
          <w:tcPr>
            <w:tcW w:w="8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tcPr>
          <w:p>
            <w:pPr>
              <w:spacing w:after="0"/>
              <w:rPr>
                <w:sz w:val="18"/>
                <w:szCs w:val="18"/>
                <w:color w:val="auto"/>
              </w:rPr>
            </w:pPr>
          </w:p>
        </w:tc>
        <w:tc>
          <w:tcPr>
            <w:tcW w:w="1220" w:type="dxa"/>
            <w:vAlign w:val="bottom"/>
            <w:gridSpan w:val="5"/>
          </w:tcPr>
          <w:p>
            <w:pPr>
              <w:jc w:val="right"/>
              <w:ind w:right="160"/>
              <w:spacing w:after="0"/>
              <w:rPr>
                <w:sz w:val="20"/>
                <w:szCs w:val="20"/>
                <w:color w:val="auto"/>
              </w:rPr>
            </w:pPr>
            <w:r>
              <w:rPr>
                <w:rFonts w:ascii="Times New Roman" w:cs="Times New Roman" w:eastAsia="Times New Roman" w:hAnsi="Times New Roman"/>
                <w:sz w:val="18"/>
                <w:szCs w:val="18"/>
                <w:color w:val="auto"/>
              </w:rPr>
              <w:t>(281,215,721)</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(278,494,185)</w:t>
            </w:r>
          </w:p>
        </w:tc>
        <w:tc>
          <w:tcPr>
            <w:tcW w:w="0" w:type="dxa"/>
            <w:vAlign w:val="bottom"/>
          </w:tcPr>
          <w:p>
            <w:pPr>
              <w:spacing w:after="0"/>
              <w:rPr>
                <w:sz w:val="1"/>
                <w:szCs w:val="1"/>
                <w:color w:val="auto"/>
              </w:rPr>
            </w:pPr>
          </w:p>
        </w:tc>
      </w:tr>
      <w:tr>
        <w:trPr>
          <w:trHeight w:val="210"/>
        </w:trPr>
        <w:tc>
          <w:tcPr>
            <w:tcW w:w="8700" w:type="dxa"/>
            <w:vAlign w:val="bottom"/>
            <w:tcBorders>
              <w:bottom w:val="single" w:sz="8" w:color="CCEEFF"/>
            </w:tcBorders>
            <w:gridSpan w:val="1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1,606,201</w:t>
            </w:r>
          </w:p>
        </w:tc>
        <w:tc>
          <w:tcPr>
            <w:tcW w:w="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4,244,668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7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3,737,619</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5,992,235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ectPr>
          <w:pgSz w:w="11900" w:h="16838" w:orient="portrait"/>
          <w:cols w:equalWidth="0" w:num="1">
            <w:col w:w="11240"/>
          </w:cols>
          <w:pgMar w:left="320" w:top="108"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p>
        </w:tc>
        <w:tc>
          <w:tcPr>
            <w:tcW w:w="25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09"/>
        </w:trPr>
        <w:tc>
          <w:tcPr>
            <w:tcW w:w="87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32"/>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100" w:type="dxa"/>
            <w:vAlign w:val="bottom"/>
          </w:tcPr>
          <w:p>
            <w:pPr>
              <w:spacing w:after="0"/>
              <w:rPr>
                <w:sz w:val="20"/>
                <w:szCs w:val="20"/>
                <w:color w:val="auto"/>
              </w:rPr>
            </w:pPr>
          </w:p>
        </w:tc>
      </w:tr>
      <w:tr>
        <w:trPr>
          <w:trHeight w:val="194"/>
        </w:trPr>
        <w:tc>
          <w:tcPr>
            <w:tcW w:w="8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1,540,744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1,373,460</w:t>
            </w:r>
          </w:p>
        </w:tc>
      </w:tr>
      <w:tr>
        <w:trPr>
          <w:trHeight w:val="216"/>
        </w:trPr>
        <w:tc>
          <w:tcPr>
            <w:tcW w:w="87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1,177,895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22,376,202</w:t>
            </w:r>
          </w:p>
        </w:tc>
      </w:tr>
      <w:tr>
        <w:trPr>
          <w:trHeight w:val="20"/>
        </w:trPr>
        <w:tc>
          <w:tcPr>
            <w:tcW w:w="8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2,718,639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23,749,662</w:t>
            </w:r>
          </w:p>
        </w:tc>
      </w:tr>
      <w:tr>
        <w:trPr>
          <w:trHeight w:val="216"/>
        </w:trPr>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operating loss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2,718,639</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23,749,662</w:t>
            </w:r>
          </w:p>
        </w:tc>
      </w:tr>
      <w:tr>
        <w:trPr>
          <w:trHeight w:val="216"/>
        </w:trPr>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2,587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(2,135)</w:t>
            </w:r>
          </w:p>
        </w:tc>
      </w:tr>
      <w:tr>
        <w:trPr>
          <w:trHeight w:val="20"/>
        </w:trPr>
        <w:tc>
          <w:tcPr>
            <w:tcW w:w="8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2,721,536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23,748,140</w:t>
            </w:r>
          </w:p>
        </w:tc>
      </w:tr>
      <w:tr>
        <w:trPr>
          <w:trHeight w:val="20"/>
        </w:trPr>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w:t>
            </w:r>
          </w:p>
        </w:tc>
      </w:tr>
      <w:tr>
        <w:trPr>
          <w:trHeight w:val="20"/>
        </w:trPr>
        <w:tc>
          <w:tcPr>
            <w:tcW w:w="87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loss</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2,721,536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23,748,472</w:t>
            </w:r>
          </w:p>
        </w:tc>
      </w:tr>
      <w:tr>
        <w:trPr>
          <w:trHeight w:val="197"/>
        </w:trPr>
        <w:tc>
          <w:tcPr>
            <w:tcW w:w="87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(1.64)</w:t>
            </w:r>
          </w:p>
        </w:tc>
      </w:tr>
      <w:tr>
        <w:trPr>
          <w:trHeight w:val="234"/>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number of common shares outstanding, basic and diluted</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25,206,914</w:t>
            </w:r>
          </w:p>
        </w:tc>
        <w:tc>
          <w:tcPr>
            <w:tcW w:w="100" w:type="dxa"/>
            <w:vAlign w:val="bottom"/>
          </w:tcPr>
          <w:p>
            <w:pPr>
              <w:spacing w:after="0"/>
              <w:rPr>
                <w:sz w:val="20"/>
                <w:szCs w:val="20"/>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14,515,088</w:t>
            </w:r>
          </w:p>
        </w:tc>
      </w:tr>
    </w:tbl>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tcPr>
          <w:p>
            <w:pPr>
              <w:spacing w:after="0"/>
              <w:rPr>
                <w:sz w:val="19"/>
                <w:szCs w:val="19"/>
                <w:color w:val="auto"/>
              </w:rPr>
            </w:pPr>
          </w:p>
        </w:tc>
        <w:tc>
          <w:tcPr>
            <w:tcW w:w="158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Preferred Stock</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6"/>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1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Additional</w:t>
            </w:r>
          </w:p>
        </w:tc>
        <w:tc>
          <w:tcPr>
            <w:tcW w:w="100" w:type="dxa"/>
            <w:vAlign w:val="bottom"/>
          </w:tcPr>
          <w:p>
            <w:pPr>
              <w:spacing w:after="0"/>
              <w:rPr>
                <w:sz w:val="19"/>
                <w:szCs w:val="19"/>
                <w:color w:val="auto"/>
              </w:rPr>
            </w:pPr>
          </w:p>
        </w:tc>
        <w:tc>
          <w:tcPr>
            <w:tcW w:w="132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25"/>
        </w:trPr>
        <w:tc>
          <w:tcPr>
            <w:tcW w:w="2100" w:type="dxa"/>
            <w:vAlign w:val="bottom"/>
          </w:tcPr>
          <w:p>
            <w:pPr>
              <w:spacing w:after="0"/>
              <w:rPr>
                <w:sz w:val="19"/>
                <w:szCs w:val="19"/>
                <w:color w:val="auto"/>
              </w:rPr>
            </w:pPr>
          </w:p>
        </w:tc>
        <w:tc>
          <w:tcPr>
            <w:tcW w:w="1580" w:type="dxa"/>
            <w:vAlign w:val="bottom"/>
            <w:gridSpan w:val="3"/>
            <w:vMerge w:val="continue"/>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20" w:type="dxa"/>
            <w:vAlign w:val="bottom"/>
            <w:gridSpan w:val="6"/>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100" w:type="dxa"/>
            <w:vAlign w:val="bottom"/>
          </w:tcPr>
          <w:p>
            <w:pPr>
              <w:spacing w:after="0"/>
              <w:rPr>
                <w:sz w:val="16"/>
                <w:szCs w:val="16"/>
                <w:color w:val="auto"/>
              </w:rPr>
            </w:pPr>
          </w:p>
        </w:tc>
        <w:tc>
          <w:tcPr>
            <w:tcW w:w="98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9"/>
              </w:rPr>
              <w:t>Number</w:t>
            </w:r>
          </w:p>
        </w:tc>
        <w:tc>
          <w:tcPr>
            <w:tcW w:w="6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9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3"/>
              </w:rPr>
              <w:t>of</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paid-in</w:t>
            </w:r>
          </w:p>
        </w:tc>
        <w:tc>
          <w:tcPr>
            <w:tcW w:w="100" w:type="dxa"/>
            <w:vAlign w:val="bottom"/>
          </w:tcPr>
          <w:p>
            <w:pPr>
              <w:spacing w:after="0"/>
              <w:rPr>
                <w:sz w:val="18"/>
                <w:szCs w:val="18"/>
                <w:color w:val="auto"/>
              </w:rPr>
            </w:pPr>
          </w:p>
        </w:tc>
        <w:tc>
          <w:tcPr>
            <w:tcW w:w="13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comprehensive</w:t>
            </w:r>
          </w:p>
        </w:tc>
        <w:tc>
          <w:tcPr>
            <w:tcW w:w="8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stockholders'</w:t>
            </w:r>
          </w:p>
        </w:tc>
        <w:tc>
          <w:tcPr>
            <w:tcW w:w="0" w:type="dxa"/>
            <w:vAlign w:val="bottom"/>
          </w:tcPr>
          <w:p>
            <w:pPr>
              <w:spacing w:after="0"/>
              <w:rPr>
                <w:sz w:val="1"/>
                <w:szCs w:val="1"/>
                <w:color w:val="auto"/>
              </w:rPr>
            </w:pPr>
          </w:p>
        </w:tc>
      </w:tr>
      <w:tr>
        <w:trPr>
          <w:trHeight w:val="238"/>
        </w:trPr>
        <w:tc>
          <w:tcPr>
            <w:tcW w:w="2100" w:type="dxa"/>
            <w:vAlign w:val="bottom"/>
          </w:tcPr>
          <w:p>
            <w:pPr>
              <w:spacing w:after="0"/>
              <w:rPr>
                <w:sz w:val="20"/>
                <w:szCs w:val="20"/>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gain (loss)</w:t>
            </w:r>
          </w:p>
        </w:tc>
        <w:tc>
          <w:tcPr>
            <w:tcW w:w="8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equity</w:t>
            </w:r>
          </w:p>
        </w:tc>
        <w:tc>
          <w:tcPr>
            <w:tcW w:w="0" w:type="dxa"/>
            <w:vAlign w:val="bottom"/>
          </w:tcPr>
          <w:p>
            <w:pPr>
              <w:spacing w:after="0"/>
              <w:rPr>
                <w:sz w:val="1"/>
                <w:szCs w:val="1"/>
                <w:color w:val="auto"/>
              </w:rPr>
            </w:pPr>
          </w:p>
        </w:tc>
      </w:tr>
      <w:tr>
        <w:trPr>
          <w:trHeight w:val="209"/>
        </w:trPr>
        <w:tc>
          <w:tcPr>
            <w:tcW w:w="21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1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76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2020</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20" w:type="dxa"/>
            <w:vAlign w:val="bottom"/>
            <w:tcBorders>
              <w:left w:val="single" w:sz="8" w:color="CCEEFF"/>
            </w:tcBorders>
            <w:shd w:val="clear" w:color="auto" w:fill="CCEEFF"/>
          </w:tcPr>
          <w:p>
            <w:pPr>
              <w:spacing w:after="0"/>
              <w:rPr>
                <w:sz w:val="20"/>
                <w:szCs w:val="20"/>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12,619,369</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1,262</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4"/>
              </w:rPr>
              <w:t>$ 250,644,197</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(70)</w:t>
            </w: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(246,019,827)</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4,625,562</w:t>
            </w:r>
          </w:p>
        </w:tc>
        <w:tc>
          <w:tcPr>
            <w:tcW w:w="0" w:type="dxa"/>
            <w:vAlign w:val="bottom"/>
          </w:tcPr>
          <w:p>
            <w:pPr>
              <w:spacing w:after="0"/>
              <w:rPr>
                <w:sz w:val="1"/>
                <w:szCs w:val="1"/>
                <w:color w:val="auto"/>
              </w:rPr>
            </w:pPr>
          </w:p>
        </w:tc>
      </w:tr>
      <w:tr>
        <w:trPr>
          <w:trHeight w:val="198"/>
        </w:trPr>
        <w:tc>
          <w:tcPr>
            <w:tcW w:w="2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Common stock and</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 issued for</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asset acquisition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10,232</w:t>
            </w: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1,892,905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189</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21,582,141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21,582,331</w:t>
            </w: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Compensation on options</w:t>
            </w:r>
          </w:p>
        </w:tc>
        <w:tc>
          <w:tcPr>
            <w:tcW w:w="7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w:t>
            </w:r>
          </w:p>
        </w:tc>
        <w:tc>
          <w:tcPr>
            <w:tcW w:w="760" w:type="dxa"/>
            <w:vAlign w:val="bottom"/>
            <w:shd w:val="clear" w:color="auto" w:fill="CCEEFF"/>
          </w:tcPr>
          <w:p>
            <w:pPr>
              <w:spacing w:after="0"/>
              <w:rPr>
                <w:sz w:val="20"/>
                <w:szCs w:val="20"/>
                <w:color w:val="auto"/>
              </w:rPr>
            </w:pPr>
          </w:p>
        </w:tc>
        <w:tc>
          <w:tcPr>
            <w:tcW w:w="220" w:type="dxa"/>
            <w:vAlign w:val="bottom"/>
            <w:tcBorders>
              <w:lef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91,609</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91,609</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Exercise of warrants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457,038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544,605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544,651</w:t>
            </w:r>
          </w:p>
        </w:tc>
        <w:tc>
          <w:tcPr>
            <w:tcW w:w="0" w:type="dxa"/>
            <w:vAlign w:val="bottom"/>
          </w:tcPr>
          <w:p>
            <w:pPr>
              <w:spacing w:after="0"/>
              <w:rPr>
                <w:sz w:val="1"/>
                <w:szCs w:val="1"/>
                <w:color w:val="auto"/>
              </w:rPr>
            </w:pPr>
          </w:p>
        </w:tc>
      </w:tr>
      <w:tr>
        <w:trPr>
          <w:trHeight w:val="198"/>
        </w:trPr>
        <w:tc>
          <w:tcPr>
            <w:tcW w:w="2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loss on</w:t>
            </w:r>
          </w:p>
        </w:tc>
        <w:tc>
          <w:tcPr>
            <w:tcW w:w="760" w:type="dxa"/>
            <w:vAlign w:val="bottom"/>
            <w:shd w:val="clear" w:color="auto" w:fill="CCEEFF"/>
          </w:tcPr>
          <w:p>
            <w:pPr>
              <w:spacing w:after="0"/>
              <w:rPr>
                <w:sz w:val="17"/>
                <w:szCs w:val="17"/>
                <w:color w:val="auto"/>
              </w:rPr>
            </w:pPr>
          </w:p>
        </w:tc>
        <w:tc>
          <w:tcPr>
            <w:tcW w:w="220" w:type="dxa"/>
            <w:vAlign w:val="bottom"/>
            <w:tcBorders>
              <w:left w:val="single" w:sz="8" w:color="CCEEFF"/>
            </w:tcBorders>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760" w:type="dxa"/>
            <w:vAlign w:val="bottom"/>
            <w:shd w:val="clear" w:color="auto" w:fill="CCEEFF"/>
          </w:tcPr>
          <w:p>
            <w:pPr>
              <w:spacing w:after="0"/>
              <w:rPr>
                <w:sz w:val="20"/>
                <w:szCs w:val="20"/>
                <w:color w:val="auto"/>
              </w:rPr>
            </w:pPr>
          </w:p>
        </w:tc>
        <w:tc>
          <w:tcPr>
            <w:tcW w:w="220" w:type="dxa"/>
            <w:vAlign w:val="bottom"/>
            <w:tcBorders>
              <w:left w:val="single" w:sz="8" w:color="CCEEFF"/>
            </w:tcBorders>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(23,748,140)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(23,748,140)</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10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at March 31,</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10,442</w:t>
            </w:r>
          </w:p>
        </w:tc>
        <w:tc>
          <w:tcPr>
            <w:tcW w:w="220" w:type="dxa"/>
            <w:vAlign w:val="bottom"/>
            <w:tcBorders>
              <w:left w:val="single" w:sz="8" w:color="CCEEFF"/>
            </w:tcBorders>
            <w:shd w:val="clear" w:color="auto" w:fill="CCEEFF"/>
          </w:tcPr>
          <w:p>
            <w:pPr>
              <w:spacing w:after="0"/>
              <w:rPr>
                <w:sz w:val="16"/>
                <w:szCs w:val="16"/>
                <w:color w:val="auto"/>
              </w:rPr>
            </w:pPr>
          </w:p>
        </w:tc>
        <w:tc>
          <w:tcPr>
            <w:tcW w:w="600" w:type="dxa"/>
            <w:vAlign w:val="bottom"/>
            <w:vMerge w:val="restart"/>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w:t>
            </w:r>
          </w:p>
        </w:tc>
        <w:tc>
          <w:tcPr>
            <w:tcW w:w="10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14,969,312</w:t>
            </w:r>
          </w:p>
        </w:tc>
        <w:tc>
          <w:tcPr>
            <w:tcW w:w="340" w:type="dxa"/>
            <w:vAlign w:val="bottom"/>
            <w:gridSpan w:val="2"/>
            <w:vMerge w:val="restart"/>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1,497</w:t>
            </w:r>
          </w:p>
        </w:tc>
        <w:tc>
          <w:tcPr>
            <w:tcW w:w="11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 xml:space="preserve"> 272,862,552</w:t>
            </w:r>
          </w:p>
        </w:tc>
        <w:tc>
          <w:tcPr>
            <w:tcW w:w="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(402)</w:t>
            </w:r>
          </w:p>
        </w:tc>
        <w:tc>
          <w:tcPr>
            <w:tcW w:w="1300" w:type="dxa"/>
            <w:vAlign w:val="bottom"/>
            <w:gridSpan w:val="3"/>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(269,767,967)</w:t>
            </w:r>
          </w:p>
        </w:tc>
        <w:tc>
          <w:tcPr>
            <w:tcW w:w="2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3,095,681</w:t>
            </w:r>
          </w:p>
        </w:tc>
        <w:tc>
          <w:tcPr>
            <w:tcW w:w="0" w:type="dxa"/>
            <w:vAlign w:val="bottom"/>
          </w:tcPr>
          <w:p>
            <w:pPr>
              <w:spacing w:after="0"/>
              <w:rPr>
                <w:sz w:val="1"/>
                <w:szCs w:val="1"/>
                <w:color w:val="auto"/>
              </w:rPr>
            </w:pPr>
          </w:p>
        </w:tc>
      </w:tr>
      <w:tr>
        <w:trPr>
          <w:trHeight w:val="238"/>
        </w:trPr>
        <w:tc>
          <w:tcPr>
            <w:tcW w:w="2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2021</w:t>
            </w:r>
          </w:p>
        </w:tc>
        <w:tc>
          <w:tcPr>
            <w:tcW w:w="760" w:type="dxa"/>
            <w:vAlign w:val="bottom"/>
            <w:vMerge w:val="continue"/>
            <w:shd w:val="clear" w:color="auto" w:fill="CCEEFF"/>
          </w:tcPr>
          <w:p>
            <w:pPr>
              <w:spacing w:after="0"/>
              <w:rPr>
                <w:sz w:val="20"/>
                <w:szCs w:val="20"/>
                <w:color w:val="auto"/>
              </w:rPr>
            </w:pPr>
          </w:p>
        </w:tc>
        <w:tc>
          <w:tcPr>
            <w:tcW w:w="220" w:type="dxa"/>
            <w:vAlign w:val="bottom"/>
            <w:tcBorders>
              <w:left w:val="single" w:sz="8" w:color="CCEEFF"/>
            </w:tcBorders>
            <w:shd w:val="clear" w:color="auto" w:fill="CCEEFF"/>
          </w:tcPr>
          <w:p>
            <w:pPr>
              <w:spacing w:after="0"/>
              <w:rPr>
                <w:sz w:val="20"/>
                <w:szCs w:val="20"/>
                <w:color w:val="auto"/>
              </w:rPr>
            </w:pPr>
          </w:p>
        </w:tc>
        <w:tc>
          <w:tcPr>
            <w:tcW w:w="600" w:type="dxa"/>
            <w:vAlign w:val="bottom"/>
            <w:vMerge w:val="continue"/>
            <w:shd w:val="clear" w:color="auto" w:fill="CCEEFF"/>
          </w:tcPr>
          <w:p>
            <w:pPr>
              <w:spacing w:after="0"/>
              <w:rPr>
                <w:sz w:val="20"/>
                <w:szCs w:val="20"/>
                <w:color w:val="auto"/>
              </w:rPr>
            </w:pPr>
          </w:p>
        </w:tc>
        <w:tc>
          <w:tcPr>
            <w:tcW w:w="400" w:type="dxa"/>
            <w:vAlign w:val="bottom"/>
            <w:gridSpan w:val="2"/>
            <w:vMerge w:val="continue"/>
            <w:shd w:val="clear" w:color="auto" w:fill="CCEEFF"/>
          </w:tcPr>
          <w:p>
            <w:pPr>
              <w:spacing w:after="0"/>
              <w:rPr>
                <w:sz w:val="20"/>
                <w:szCs w:val="20"/>
                <w:color w:val="auto"/>
              </w:rPr>
            </w:pPr>
          </w:p>
        </w:tc>
        <w:tc>
          <w:tcPr>
            <w:tcW w:w="1020" w:type="dxa"/>
            <w:vAlign w:val="bottom"/>
            <w:gridSpan w:val="2"/>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760" w:type="dxa"/>
            <w:vAlign w:val="bottom"/>
            <w:gridSpan w:val="2"/>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240" w:type="dxa"/>
            <w:vAlign w:val="bottom"/>
            <w:gridSpan w:val="2"/>
            <w:vMerge w:val="continue"/>
            <w:shd w:val="clear" w:color="auto" w:fill="CCEEFF"/>
          </w:tcPr>
          <w:p>
            <w:pPr>
              <w:spacing w:after="0"/>
              <w:rPr>
                <w:sz w:val="20"/>
                <w:szCs w:val="20"/>
                <w:color w:val="auto"/>
              </w:rPr>
            </w:pPr>
          </w:p>
        </w:tc>
        <w:tc>
          <w:tcPr>
            <w:tcW w:w="1180" w:type="dxa"/>
            <w:vAlign w:val="bottom"/>
            <w:gridSpan w:val="2"/>
            <w:vMerge w:val="continue"/>
            <w:shd w:val="clear" w:color="auto" w:fill="CCEEFF"/>
          </w:tcPr>
          <w:p>
            <w:pPr>
              <w:spacing w:after="0"/>
              <w:rPr>
                <w:sz w:val="20"/>
                <w:szCs w:val="20"/>
                <w:color w:val="auto"/>
              </w:rPr>
            </w:pPr>
          </w:p>
        </w:tc>
        <w:tc>
          <w:tcPr>
            <w:tcW w:w="1300" w:type="dxa"/>
            <w:vAlign w:val="bottom"/>
            <w:gridSpan w:val="3"/>
            <w:vMerge w:val="continue"/>
            <w:shd w:val="clear" w:color="auto" w:fill="CCEEFF"/>
          </w:tcPr>
          <w:p>
            <w:pPr>
              <w:spacing w:after="0"/>
              <w:rPr>
                <w:sz w:val="20"/>
                <w:szCs w:val="20"/>
                <w:color w:val="auto"/>
              </w:rPr>
            </w:pPr>
          </w:p>
        </w:tc>
        <w:tc>
          <w:tcPr>
            <w:tcW w:w="200" w:type="dxa"/>
            <w:vAlign w:val="bottom"/>
            <w:gridSpan w:val="2"/>
            <w:vMerge w:val="continue"/>
            <w:shd w:val="clear" w:color="auto" w:fill="CCEEFF"/>
          </w:tcPr>
          <w:p>
            <w:pPr>
              <w:spacing w:after="0"/>
              <w:rPr>
                <w:sz w:val="20"/>
                <w:szCs w:val="20"/>
                <w:color w:val="auto"/>
              </w:rPr>
            </w:pPr>
          </w:p>
        </w:tc>
        <w:tc>
          <w:tcPr>
            <w:tcW w:w="100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100" w:type="dxa"/>
            <w:vAlign w:val="bottom"/>
            <w:tcBorders>
              <w:top w:val="single" w:sz="8" w:color="CCEEFF"/>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10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Balance at December 31,</w:t>
            </w:r>
          </w:p>
        </w:tc>
        <w:tc>
          <w:tcPr>
            <w:tcW w:w="760" w:type="dxa"/>
            <w:vAlign w:val="bottom"/>
            <w:shd w:val="clear" w:color="auto" w:fill="CCEEFF"/>
          </w:tcPr>
          <w:p>
            <w:pPr>
              <w:spacing w:after="0"/>
              <w:rPr>
                <w:sz w:val="16"/>
                <w:szCs w:val="16"/>
                <w:color w:val="auto"/>
              </w:rPr>
            </w:pPr>
          </w:p>
        </w:tc>
        <w:tc>
          <w:tcPr>
            <w:tcW w:w="220" w:type="dxa"/>
            <w:vAlign w:val="bottom"/>
            <w:tcBorders>
              <w:left w:val="single" w:sz="8" w:color="CCEEFF"/>
            </w:tcBorders>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2021</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20" w:type="dxa"/>
            <w:vAlign w:val="bottom"/>
            <w:tcBorders>
              <w:left w:val="single" w:sz="8" w:color="CCEEFF"/>
            </w:tcBorders>
            <w:shd w:val="clear" w:color="auto" w:fill="CCEEFF"/>
          </w:tcPr>
          <w:p>
            <w:pPr>
              <w:spacing w:after="0"/>
              <w:rPr>
                <w:sz w:val="20"/>
                <w:szCs w:val="20"/>
                <w:color w:val="auto"/>
              </w:rPr>
            </w:pPr>
          </w:p>
        </w:tc>
        <w:tc>
          <w:tcPr>
            <w:tcW w:w="60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25,206,914</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2,521</w:t>
            </w: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4"/>
              </w:rPr>
              <w:t>$ 282,736,332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(278,494,185)</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4,244,668</w:t>
            </w:r>
          </w:p>
        </w:tc>
        <w:tc>
          <w:tcPr>
            <w:tcW w:w="0" w:type="dxa"/>
            <w:vAlign w:val="bottom"/>
          </w:tcPr>
          <w:p>
            <w:pPr>
              <w:spacing w:after="0"/>
              <w:rPr>
                <w:sz w:val="1"/>
                <w:szCs w:val="1"/>
                <w:color w:val="auto"/>
              </w:rPr>
            </w:pPr>
          </w:p>
        </w:tc>
      </w:tr>
      <w:tr>
        <w:trPr>
          <w:trHeight w:val="198"/>
        </w:trPr>
        <w:tc>
          <w:tcPr>
            <w:tcW w:w="2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Compensation on options</w:t>
            </w: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83,069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83,069</w:t>
            </w:r>
          </w:p>
        </w:tc>
        <w:tc>
          <w:tcPr>
            <w:tcW w:w="0" w:type="dxa"/>
            <w:vAlign w:val="bottom"/>
          </w:tcPr>
          <w:p>
            <w:pPr>
              <w:spacing w:after="0"/>
              <w:rPr>
                <w:sz w:val="1"/>
                <w:szCs w:val="1"/>
                <w:color w:val="auto"/>
              </w:rPr>
            </w:pPr>
          </w:p>
        </w:tc>
      </w:tr>
      <w:tr>
        <w:trPr>
          <w:trHeight w:val="216"/>
        </w:trPr>
        <w:tc>
          <w:tcPr>
            <w:tcW w:w="2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76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(2,721,536)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(2,721,536)</w:t>
            </w:r>
          </w:p>
        </w:tc>
        <w:tc>
          <w:tcPr>
            <w:tcW w:w="0" w:type="dxa"/>
            <w:vAlign w:val="bottom"/>
          </w:tcPr>
          <w:p>
            <w:pPr>
              <w:spacing w:after="0"/>
              <w:rPr>
                <w:sz w:val="1"/>
                <w:szCs w:val="1"/>
                <w:color w:val="auto"/>
              </w:rPr>
            </w:pPr>
          </w:p>
        </w:tc>
      </w:tr>
      <w:tr>
        <w:trPr>
          <w:trHeight w:val="20"/>
        </w:trPr>
        <w:tc>
          <w:tcPr>
            <w:tcW w:w="21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Borders>
              <w:left w:val="single" w:sz="8" w:color="CCEEFF"/>
            </w:tcBorders>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1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Balance at March 31,</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210</w:t>
            </w:r>
          </w:p>
        </w:tc>
        <w:tc>
          <w:tcPr>
            <w:tcW w:w="220" w:type="dxa"/>
            <w:vAlign w:val="bottom"/>
          </w:tcPr>
          <w:p>
            <w:pPr>
              <w:spacing w:after="0"/>
              <w:rPr>
                <w:sz w:val="16"/>
                <w:szCs w:val="16"/>
                <w:color w:val="auto"/>
              </w:rPr>
            </w:pPr>
          </w:p>
        </w:tc>
        <w:tc>
          <w:tcPr>
            <w:tcW w:w="600" w:type="dxa"/>
            <w:vAlign w:val="bottom"/>
            <w:vMerge w:val="restart"/>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0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25,206,914</w:t>
            </w:r>
          </w:p>
        </w:tc>
        <w:tc>
          <w:tcPr>
            <w:tcW w:w="34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2,521</w:t>
            </w:r>
          </w:p>
        </w:tc>
        <w:tc>
          <w:tcPr>
            <w:tcW w:w="11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b w:val="1"/>
                <w:bCs w:val="1"/>
                <w:u w:val="single" w:color="auto"/>
                <w:color w:val="auto"/>
                <w:w w:val="94"/>
              </w:rPr>
              <w:t>$</w:t>
            </w:r>
            <w:r>
              <w:rPr>
                <w:rFonts w:ascii="Times New Roman" w:cs="Times New Roman" w:eastAsia="Times New Roman" w:hAnsi="Times New Roman"/>
                <w:sz w:val="18"/>
                <w:szCs w:val="18"/>
                <w:b w:val="1"/>
                <w:bCs w:val="1"/>
                <w:color w:val="auto"/>
                <w:w w:val="94"/>
              </w:rPr>
              <w:t xml:space="preserve"> 282,819,401</w:t>
            </w:r>
          </w:p>
        </w:tc>
        <w:tc>
          <w:tcPr>
            <w:tcW w:w="2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3"/>
            <w:vMerge w:val="restart"/>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 (281,215,721)</w:t>
            </w:r>
          </w:p>
        </w:tc>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1,606,201</w:t>
            </w:r>
          </w:p>
        </w:tc>
        <w:tc>
          <w:tcPr>
            <w:tcW w:w="0" w:type="dxa"/>
            <w:vAlign w:val="bottom"/>
          </w:tcPr>
          <w:p>
            <w:pPr>
              <w:spacing w:after="0"/>
              <w:rPr>
                <w:sz w:val="1"/>
                <w:szCs w:val="1"/>
                <w:color w:val="auto"/>
              </w:rPr>
            </w:pPr>
          </w:p>
        </w:tc>
      </w:tr>
      <w:tr>
        <w:trPr>
          <w:trHeight w:val="198"/>
        </w:trPr>
        <w:tc>
          <w:tcPr>
            <w:tcW w:w="21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2022</w:t>
            </w:r>
          </w:p>
        </w:tc>
        <w:tc>
          <w:tcPr>
            <w:tcW w:w="76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40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340" w:type="dxa"/>
            <w:vAlign w:val="bottom"/>
            <w:gridSpan w:val="2"/>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300" w:type="dxa"/>
            <w:vAlign w:val="bottom"/>
            <w:gridSpan w:val="3"/>
            <w:vMerge w:val="continue"/>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10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25" w:lineRule="exact"/>
        <w:rPr>
          <w:sz w:val="20"/>
          <w:szCs w:val="20"/>
          <w:color w:val="auto"/>
        </w:rPr>
      </w:pPr>
    </w:p>
    <w:p>
      <w:pPr>
        <w:jc w:val="center"/>
        <w:ind w:left="8580"/>
        <w:spacing w:after="0"/>
        <w:rPr>
          <w:sz w:val="20"/>
          <w:szCs w:val="20"/>
          <w:color w:val="auto"/>
        </w:rPr>
      </w:pPr>
      <w:r>
        <w:rPr>
          <w:rFonts w:ascii="Times New Roman" w:cs="Times New Roman" w:eastAsia="Times New Roman" w:hAnsi="Times New Roman"/>
          <w:sz w:val="18"/>
          <w:szCs w:val="18"/>
          <w:b w:val="1"/>
          <w:bCs w:val="1"/>
          <w:u w:val="single" w:color="auto"/>
          <w:color w:val="auto"/>
        </w:rPr>
        <w:t>Three months ended March 31,</w:t>
      </w:r>
    </w:p>
    <w:p>
      <w:pPr>
        <w:spacing w:after="0" w:line="31" w:lineRule="exact"/>
        <w:rPr>
          <w:sz w:val="20"/>
          <w:szCs w:val="20"/>
          <w:color w:val="auto"/>
        </w:rPr>
      </w:pPr>
    </w:p>
    <w:p>
      <w:pPr>
        <w:ind w:left="9080"/>
        <w:spacing w:after="0"/>
        <w:tabs>
          <w:tab w:leader="none" w:pos="10380" w:val="left"/>
        </w:tabs>
        <w:rPr>
          <w:sz w:val="20"/>
          <w:szCs w:val="20"/>
          <w:color w:val="auto"/>
        </w:rPr>
      </w:pPr>
      <w:r>
        <w:rPr>
          <w:rFonts w:ascii="Times New Roman" w:cs="Times New Roman" w:eastAsia="Times New Roman" w:hAnsi="Times New Roman"/>
          <w:sz w:val="18"/>
          <w:szCs w:val="18"/>
          <w:b w:val="1"/>
          <w:bCs w:val="1"/>
          <w:color w:val="auto"/>
        </w:rPr>
        <w:t>2022</w:t>
      </w:r>
      <w:r>
        <w:rPr>
          <w:sz w:val="20"/>
          <w:szCs w:val="20"/>
          <w:color w:val="auto"/>
        </w:rPr>
        <w:tab/>
      </w:r>
      <w:r>
        <w:rPr>
          <w:rFonts w:ascii="Times New Roman" w:cs="Times New Roman" w:eastAsia="Times New Roman" w:hAnsi="Times New Roman"/>
          <w:sz w:val="18"/>
          <w:szCs w:val="18"/>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5525770</wp:posOffset>
            </wp:positionH>
            <wp:positionV relativeFrom="paragraph">
              <wp:posOffset>14605</wp:posOffset>
            </wp:positionV>
            <wp:extent cx="15430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ectPr>
          <w:pgSz w:w="11900" w:h="16838" w:orient="portrait"/>
          <w:cols w:equalWidth="0" w:num="1">
            <w:col w:w="11240"/>
          </w:cols>
          <w:pgMar w:left="320" w:top="333" w:right="3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6"/>
              </w:rPr>
              <w:t>(Unaudited)</w:t>
            </w:r>
          </w:p>
        </w:tc>
        <w:tc>
          <w:tcPr>
            <w:tcW w:w="10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6"/>
              </w:rPr>
              <w:t>(Unaudited)</w:t>
            </w:r>
          </w:p>
        </w:tc>
      </w:tr>
      <w:tr>
        <w:trPr>
          <w:trHeight w:val="216"/>
        </w:trPr>
        <w:tc>
          <w:tcPr>
            <w:tcW w:w="8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(2,721,536)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(23,748,140)</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1,135</w:t>
            </w: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on debt instrument</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613</w:t>
            </w: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right of use asset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26,257</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29,088</w:t>
            </w: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Issuance and vesting of compensatory stock options and warrants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83,069</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91,609</w:t>
            </w: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common stock and preferred stock for asset acquisition</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21,582,331</w:t>
            </w: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premium on marketable securities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4,442</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prepaid expenses and other assets</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(484,496)</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(403,357)</w:t>
            </w:r>
          </w:p>
        </w:tc>
      </w:tr>
      <w:tr>
        <w:trPr>
          <w:trHeight w:val="216"/>
        </w:trPr>
        <w:tc>
          <w:tcPr>
            <w:tcW w:w="8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183,654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(778,862)</w:t>
            </w:r>
          </w:p>
        </w:tc>
      </w:tr>
      <w:tr>
        <w:trPr>
          <w:trHeight w:val="216"/>
        </w:trPr>
        <w:tc>
          <w:tcPr>
            <w:tcW w:w="87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 term portion of lease liability</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(28,565)</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(2,937,677)</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(3,221,141)</w:t>
            </w:r>
          </w:p>
        </w:tc>
      </w:tr>
      <w:tr>
        <w:trPr>
          <w:trHeight w:val="216"/>
        </w:trPr>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of marketable securities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190,184</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(227,148)</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(6,323)</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7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7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(6,323)</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(36,964)</w:t>
            </w:r>
          </w:p>
        </w:tc>
      </w:tr>
      <w:tr>
        <w:trPr>
          <w:trHeight w:val="216"/>
        </w:trPr>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the exercise of warrants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544,651</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note payable</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364,546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on short-term note</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(135,784)</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700" w:type="dxa"/>
            <w:vAlign w:val="bottom"/>
            <w:tcBorders>
              <w:top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228,762</w:t>
            </w:r>
          </w:p>
        </w:tc>
        <w:tc>
          <w:tcPr>
            <w:tcW w:w="2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544,651</w:t>
            </w:r>
          </w:p>
        </w:tc>
        <w:tc>
          <w:tcPr>
            <w:tcW w:w="100" w:type="dxa"/>
            <w:vAlign w:val="bottom"/>
            <w:tcBorders>
              <w:top w:val="single" w:sz="8" w:color="CCEEFF"/>
            </w:tcBorders>
          </w:tcPr>
          <w:p>
            <w:pPr>
              <w:spacing w:after="0"/>
              <w:rPr>
                <w:sz w:val="18"/>
                <w:szCs w:val="18"/>
                <w:color w:val="auto"/>
              </w:rPr>
            </w:pPr>
          </w:p>
        </w:tc>
      </w:tr>
      <w:tr>
        <w:trPr>
          <w:trHeight w:val="216"/>
        </w:trPr>
        <w:tc>
          <w:tcPr>
            <w:tcW w:w="8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tc>
        <w:tc>
          <w:tcPr>
            <w:tcW w:w="10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(2,715,238)</w:t>
            </w:r>
          </w:p>
        </w:tc>
        <w:tc>
          <w:tcPr>
            <w:tcW w:w="10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(2,713,454)</w:t>
            </w:r>
          </w:p>
        </w:tc>
      </w:tr>
      <w:tr>
        <w:trPr>
          <w:trHeight w:val="210"/>
        </w:trPr>
        <w:tc>
          <w:tcPr>
            <w:tcW w:w="8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5,583,922</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6,250,241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2,868,684</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3,536,787</w:t>
            </w:r>
          </w:p>
        </w:tc>
      </w:tr>
      <w:tr>
        <w:trPr>
          <w:trHeight w:val="20"/>
        </w:trPr>
        <w:tc>
          <w:tcPr>
            <w:tcW w:w="8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BUSINESS</w:t>
      </w:r>
    </w:p>
    <w:p>
      <w:pPr>
        <w:spacing w:after="0" w:line="22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Tenax Therapeutics, Inc. (the “Company”) was originally formed as a New Jersey corporation in 1967 under the name Rudmer, David &amp; Associates, Inc., and subsequently changed its name to Synthetic Blood International, Inc. On June 17, 2008, the stockholders of Synthetic Blood International approved the Agreement and Plan of Merger dated April 28, 2008, between Synthetic Blood International and Oxygen Biotherapeutics, Inc., a Delaware corporation. Synthetic Blood International formed Oxygen Biotherapeutics on April 17, 2008 to participate in the merger for the purpose of changing the state of domicile of Synthetic Blood International from New Jersey to Delaware. Certificates of Merger were filed with the states of New Jersey and Delaware and the merger was effective June 30, 2008. Under the Plan of Merger, Oxygen Biotherapeutics was the surviving corporation and each share of Synthetic Blood International common stock outstanding on June 30, 2008 was converted into one share of Oxygen Biotherapeutics common stock. On September 19, 2014, the Company changed its name to Tenax Therapeutics, Inc.</w:t>
      </w:r>
    </w:p>
    <w:p>
      <w:pPr>
        <w:spacing w:after="0" w:line="19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November 13, 2013, the Company acquired, through its wholly-owned subsidiary, Life Newco, Inc., a Delaware corporation (“Life Newco”), certain assets of Phyxius Pharma, Inc., a Delaware corporation (“Phyxius”) pursuant to an Asset Purchase Agreement dated October 21, 2013 (the “Asset Purchase Agreement”), by and among the Company, Life Newco, Phyxius and the stockholders of Phyxius. Among these assets was a license between Phyxius and Orion Corporation, a global healthcare company incorporated under the laws of Finland (“Orion”), dated September 20, 2013, and that certain Side Letter, dated October 15, 2013, for the exclusive, sublicensable right to develop and commercialize pharmaceutical products containing levosimendan, 2.5 mg/ml concentrate for solution for infusion / 5ml vial in the United States and Canada (the “Territory”). On October 9, 2020 and January 25, 2022, the Company amended the license (as amended, the “License”), to include two product dose forms containing levosimendan, in capsule and solid dosage form, and a subcutaneously administered product containing levosimendan, subject to specified limitations in the License (together, the “Product”). Pursuant to the License, the Company and Orion will agree to a new trademark when commercializing levosimendan in either of these forms. The term of the License extends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2030, however, either party will have the right to terminate the License with immediate effect. The Company intends to conduct an upcoming Phase 3 study in pulmonary hypertension patients utilizing one of these formulations. See “Note 8 - Commitments and Contingencies” below for a further discussion of the License.</w:t>
      </w:r>
    </w:p>
    <w:p>
      <w:pPr>
        <w:spacing w:after="0" w:line="197" w:lineRule="exact"/>
        <w:rPr>
          <w:sz w:val="20"/>
          <w:szCs w:val="20"/>
          <w:color w:val="auto"/>
        </w:rPr>
      </w:pPr>
    </w:p>
    <w:p>
      <w:pPr>
        <w:ind w:right="140"/>
        <w:spacing w:after="0" w:line="281" w:lineRule="auto"/>
        <w:rPr>
          <w:sz w:val="20"/>
          <w:szCs w:val="20"/>
          <w:color w:val="auto"/>
        </w:rPr>
      </w:pPr>
      <w:r>
        <w:rPr>
          <w:rFonts w:ascii="Times New Roman" w:cs="Times New Roman" w:eastAsia="Times New Roman" w:hAnsi="Times New Roman"/>
          <w:sz w:val="17"/>
          <w:szCs w:val="17"/>
          <w:color w:val="auto"/>
        </w:rPr>
        <w:t>On January 15, 2021, the Company, Life Newco II, Inc., a Delaware corporation and a wholly-owned subsidiary of the Company (“Life Newco II”), PHPrecisionMed Inc., a Delaware corporation (“PHPM”) and Dr. Stuart Rich, solely in his capacity as holders’ representative ( the “Representative”), entered into an Agreement and Plan of Merger (the “Merger Agreement”) pursuant to which the Company acquired all of the equity of PHPM, a company developing pharmaceutical products containing imatinib for the treatment of pulmonary arterial hypertension (“PAH”) in the United States and the rest of</w:t>
      </w:r>
    </w:p>
    <w:p>
      <w:pPr>
        <w:sectPr>
          <w:pgSz w:w="11900" w:h="16838" w:orient="portrait"/>
          <w:cols w:equalWidth="0" w:num="1">
            <w:col w:w="11240"/>
          </w:cols>
          <w:pgMar w:left="320" w:top="117" w:right="339" w:bottom="0" w:gutter="0" w:footer="0" w:header="0"/>
        </w:sectPr>
      </w:pPr>
    </w:p>
    <w:bookmarkStart w:id="4" w:name="page5"/>
    <w:bookmarkEnd w:id="4"/>
    <w:p>
      <w:pPr>
        <w:ind w:right="140"/>
        <w:spacing w:after="0" w:line="282" w:lineRule="auto"/>
        <w:rPr>
          <w:sz w:val="20"/>
          <w:szCs w:val="20"/>
          <w:color w:val="auto"/>
        </w:rPr>
      </w:pPr>
      <w:r>
        <w:rPr>
          <w:rFonts w:ascii="Times New Roman" w:cs="Times New Roman" w:eastAsia="Times New Roman" w:hAnsi="Times New Roman"/>
          <w:sz w:val="18"/>
          <w:szCs w:val="18"/>
          <w:color w:val="auto"/>
        </w:rPr>
        <w:t>the world. Under the terms of the Merger Agreement, Life Newco II merged with and into PHPM, with PHPM surviving as a wholly-owned subsidiary of the Company (the “Merger”). See “Note 7 - Merger” below for a further discussion of the Merger.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Management believes the accompanying condensed consolidated financial statements have been prepared in conformity with generally accepted accounting principles in the United States of America (“GAAP”), which contemplate continuation of the Company as a going concern. The Company has an accumulated deficit of $281 million on March 31, 2022 and $278 million on December 31, 2021 and used cash in operations of $2.9 million and $3.2 million during the three months ended March 31, 2022 and 2021, respectively. The Company requires substantial additional funds to complete clinical trials and pursue regulatory approvals. Management is actively seeking additional sources of equity and/or debt financing; however, there is no assurance that any additional funding will be available.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ind w:right="260"/>
        <w:spacing w:after="0" w:line="256" w:lineRule="auto"/>
        <w:rPr>
          <w:sz w:val="20"/>
          <w:szCs w:val="20"/>
          <w:color w:val="auto"/>
        </w:rPr>
      </w:pPr>
      <w:r>
        <w:rPr>
          <w:rFonts w:ascii="Times New Roman" w:cs="Times New Roman" w:eastAsia="Times New Roman" w:hAnsi="Times New Roman"/>
          <w:sz w:val="18"/>
          <w:szCs w:val="18"/>
          <w:color w:val="auto"/>
        </w:rPr>
        <w:t>In view of the matters described above, recoverability of a major portion of the recorded asset amounts shown in the accompanying March 31, 2022 balance sheet is dependent upon continued operations of the Company, which in turn is dependent upon the Company’s ability to meet its financing requirements on a continuing basis, to maintain present financing, and to generate cash from future operations. These factors, among others, raise substantial doubt about the Company’s ability to continue as a going concern. The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0" w:lineRule="exact"/>
        <w:rPr>
          <w:sz w:val="20"/>
          <w:szCs w:val="20"/>
          <w:color w:val="auto"/>
        </w:rPr>
      </w:pPr>
    </w:p>
    <w:p>
      <w:pPr>
        <w:ind w:right="100"/>
        <w:spacing w:after="0" w:line="249" w:lineRule="exact"/>
        <w:rPr>
          <w:sz w:val="20"/>
          <w:szCs w:val="20"/>
          <w:color w:val="auto"/>
        </w:rPr>
      </w:pPr>
      <w:r>
        <w:rPr>
          <w:rFonts w:ascii="Times New Roman" w:cs="Times New Roman" w:eastAsia="Times New Roman" w:hAnsi="Times New Roman"/>
          <w:sz w:val="22"/>
          <w:szCs w:val="22"/>
          <w:color w:val="auto"/>
        </w:rPr>
        <w:t>The accompanying unaudited condensed consolidated financial statements have been prepared in accordance with GAAP for interim financial information and the instructions to Form 10</w:t>
      </w:r>
      <w:r>
        <w:rPr>
          <w:rFonts w:ascii="MS PGothic" w:cs="MS PGothic" w:eastAsia="MS PGothic" w:hAnsi="MS PGothic"/>
          <w:sz w:val="22"/>
          <w:szCs w:val="22"/>
          <w:color w:val="auto"/>
        </w:rPr>
        <w:t>‑</w:t>
      </w:r>
      <w:r>
        <w:rPr>
          <w:rFonts w:ascii="Times New Roman" w:cs="Times New Roman" w:eastAsia="Times New Roman" w:hAnsi="Times New Roman"/>
          <w:sz w:val="22"/>
          <w:szCs w:val="22"/>
          <w:color w:val="auto"/>
        </w:rPr>
        <w:t>Q and Article 10 of Regulation S-X. Accordingly, they do not include all of the information and footnotes required by GAAP for complete financial statements. In the opinion of management, the unaudited condensed consolidated financial statements reflect all adjustments, which include only normal recurring adjustments necessary for the fair statement of the balances and results for the periods presented. Certain information and footnote disclosures normally included in the Company’s annual financial statements prepared in accordance with GAAP have been condensed or omitted. These condensed consolidated financial statement results are not necessarily indicative of results to be expected for the full fiscal year or any future period.</w:t>
      </w:r>
    </w:p>
    <w:p>
      <w:pPr>
        <w:spacing w:after="0" w:line="193"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and related disclosures have been prepared with the presumption that users of the unaudited condensed consolidated financial statements have read or have access to the audited financial statements for the preceding fiscal year. Accordingly, these unaudited condensed consolidated financial statements should be read in conjunction with the Company’s Form 10-K, which was filed with the United States Securities and Exchange Commission (“SEC”) on March 29, 2022, from which the Company derived the balance sheet data at December 31,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preparation of the accompanying unaudited condensed consolidated financial statements in conformity with GAAP requires management to make certain estimates and assumptions that affect the reported amounts of assets and liabilities and disclosure of contingent assets and liabilities at the date of the unaudited condensed consolidated financial statements and reported amounts of expenses during the reporting period. Actual results could differ from those estimates.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On an ongoing basis, management reviews its estimates to ensure that these estimates appropriately reflect changes in the Company’s business and new information as it becomes available. If historical experience and other factors used by management to make these estimates do not reasonably reflect future activity, the Company’s results of operations and financial position could be materially impacted.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and transactions of Tenax Therapeutics, Inc., Life Newco, Inc. and PHPrecisionMed Inc. All material intercompany transactions and balances have been eliminated in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considers all highly liquid instruments with a maturity date of three months or less, when acquired, to be cash equivalents.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Capital Resources</w:t>
      </w:r>
    </w:p>
    <w:p>
      <w:pPr>
        <w:spacing w:after="0" w:line="229"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On March 31, 2022, the Company had cash and cash equivalents of approximately $2.9 million. The Company used $2.9 million of cash for operating activities during the three months ended March 31, 2022 and had stockholders’ equity of $1.6 million, versus $4.2 million on December 31, 2021.</w:t>
      </w:r>
    </w:p>
    <w:p>
      <w:pPr>
        <w:spacing w:after="0" w:line="162" w:lineRule="exact"/>
        <w:rPr>
          <w:sz w:val="20"/>
          <w:szCs w:val="20"/>
          <w:color w:val="auto"/>
        </w:rPr>
      </w:pPr>
    </w:p>
    <w:p>
      <w:pPr>
        <w:jc w:val="both"/>
        <w:ind w:right="260"/>
        <w:spacing w:after="0" w:line="256" w:lineRule="auto"/>
        <w:rPr>
          <w:sz w:val="20"/>
          <w:szCs w:val="20"/>
          <w:color w:val="auto"/>
        </w:rPr>
      </w:pPr>
      <w:r>
        <w:rPr>
          <w:rFonts w:ascii="Times New Roman" w:cs="Times New Roman" w:eastAsia="Times New Roman" w:hAnsi="Times New Roman"/>
          <w:sz w:val="18"/>
          <w:szCs w:val="18"/>
          <w:color w:val="auto"/>
        </w:rPr>
        <w:t>The Company expects to continue to incur expenses related to development of imatinib for PAH, levosimendan for pulmonary hypertension, and other potential indications, as well as identifying and developing other potential product candidates. Based on its resources on March 31, 2022, the Company believes that it has sufficient capital to fund its planned operations through the second quarter of calendar year 2022. However, the Company will need substantial additional financing in order to fund its operations beyond such period and thereafter until it can achieve profitability, if ever. The Company depends on its ability to raise additional funds through various potential sources, such as equity and debt financing, or licensing its product candidates to another pharmaceutical company. The Company will continue to fund operations from cash on hand and through sources of capital similar to those</w:t>
      </w:r>
    </w:p>
    <w:p>
      <w:pPr>
        <w:sectPr>
          <w:pgSz w:w="11900" w:h="16838" w:orient="portrait"/>
          <w:cols w:equalWidth="0" w:num="1">
            <w:col w:w="11240"/>
          </w:cols>
          <w:pgMar w:left="320" w:top="121" w:right="339" w:bottom="0" w:gutter="0" w:footer="0" w:header="0"/>
        </w:sectPr>
      </w:pPr>
    </w:p>
    <w:bookmarkStart w:id="5" w:name="page6"/>
    <w:bookmarkEnd w:id="5"/>
    <w:p>
      <w:pPr>
        <w:ind w:right="240"/>
        <w:spacing w:after="0" w:line="282" w:lineRule="auto"/>
        <w:rPr>
          <w:sz w:val="20"/>
          <w:szCs w:val="20"/>
          <w:color w:val="auto"/>
        </w:rPr>
      </w:pPr>
      <w:r>
        <w:rPr>
          <w:rFonts w:ascii="Times New Roman" w:cs="Times New Roman" w:eastAsia="Times New Roman" w:hAnsi="Times New Roman"/>
          <w:sz w:val="18"/>
          <w:szCs w:val="18"/>
          <w:color w:val="auto"/>
        </w:rPr>
        <w:t>previously described. The Company cannot provide assurance that it will be able to secure such additional financing on reasonable terms, or if available, that it will be sufficient to meet its needs.</w:t>
      </w:r>
    </w:p>
    <w:p>
      <w:pPr>
        <w:spacing w:after="0" w:line="16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To the extent that the Company raises additional funds by issuing shares of its common stock or other securities convertible or exchangeable for shares of common stock, stockholders will experience dilution, which may be significant. In the event the Company raises additional capital through debt financings, the Company may incur significant interest expense and become subject to restrictive covenants in the related transaction documentation that may affect the manner in which the Company conducts its business. To the extent that the Company raises additional funds through collaboration and licensing arrangements, it may be necessary to relinquish some rights to its technologies or product candidates or grant licenses on terms that may not be favorable to the Company.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The continued spread of COVID-19 globally could adversely affect the Company’s clinical trial operations, including its ability to recruit and retain patients, principal investigators and site staff who, as healthcare providers, may have heightened exposure to COVID-19 if an outbreak occurs in their geography. Further, some patients may be unable to comply with clinical trial protocols if quarantines or travel restrictions impede patient movement or interrupt healthcare services, or if the patients become infected with COVID-19 themselves, which would delay the Company’s ability to initiate and/or complete planned clinical and preclinical studies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or all of the foregoing may have a material adverse effect on the Company’s business and financial performance.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Loss Per Share</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Basic loss per share, which excludes antidilutive securities, is computed by dividing net loss by the weighted-average number of common shares outstanding for that particular period. In contrast, diluted loss per share considers the potential dilution that could occur from other equity instruments that would increase the total number of outstanding shares of common stock. Such amounts include shares potentially issuable under outstanding options, restricted stock and warrants.</w:t>
      </w:r>
    </w:p>
    <w:p>
      <w:pPr>
        <w:spacing w:after="0" w:line="180"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following outstanding options, restricted stock grants, convertible preferred shares and warrants were excluded from the computation of basic and diluted net loss per share for the periods presented because including them would have had an anti-dilutive effect.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700" w:type="dxa"/>
            <w:vAlign w:val="bottom"/>
          </w:tcPr>
          <w:p>
            <w:pPr>
              <w:spacing w:after="0"/>
              <w:rPr>
                <w:sz w:val="20"/>
                <w:szCs w:val="20"/>
                <w:color w:val="auto"/>
              </w:rPr>
            </w:pPr>
          </w:p>
        </w:tc>
        <w:tc>
          <w:tcPr>
            <w:tcW w:w="2540" w:type="dxa"/>
            <w:vAlign w:val="bottom"/>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10"/>
        </w:trPr>
        <w:tc>
          <w:tcPr>
            <w:tcW w:w="870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10"/>
        </w:trPr>
        <w:tc>
          <w:tcPr>
            <w:tcW w:w="87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20,928,767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15,797,503</w:t>
            </w:r>
          </w:p>
        </w:tc>
      </w:tr>
      <w:tr>
        <w:trPr>
          <w:trHeight w:val="216"/>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Pre-funded warrants to purchase common stock</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10,033,274</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5,260,005</w:t>
            </w:r>
          </w:p>
        </w:tc>
      </w:tr>
      <w:tr>
        <w:trPr>
          <w:trHeight w:val="216"/>
        </w:trPr>
        <w:tc>
          <w:tcPr>
            <w:tcW w:w="8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1,299,567</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751,137</w:t>
            </w:r>
          </w:p>
        </w:tc>
      </w:tr>
      <w:tr>
        <w:trPr>
          <w:trHeight w:val="234"/>
        </w:trPr>
        <w:tc>
          <w:tcPr>
            <w:tcW w:w="87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preferred shares outstanding</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10,442</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22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determines if an arrangement includes a lease at inception. Operating leases are included in operating lease right-of-use assets, other current liabilities, and long-term lease liabilities in the Company’s condensed consolidated balance sheet as of March 31, 2022. Right-of-use assets represent the Company’s right to use an underlying asset for the lease term and lease liabilities represent the Company’s obligation to make lease payments arising from the lease. Operating lease right-of-use assets and liabilities are recognized at the lease commencement date based on the present value of lease payments over the lease term. In determining the net present value of lease payments, the Company uses the incremental borrowing rate based on the information available at the lease commencement date. The operating lease right-of-use assets also include any lease payments made and exclude lease incentives. The Company’s leases may include options to extend or terminate the lease which are included in the lease term when it is reasonably certain that the Company will exercise any such option. Lease expense is recognized on a straight-line basis over the expected lease term. The Company has elected to account for leases with an initial term of 12 months or less similar to previous guidance for operating leases, under which the Company will recognize those lease payments in the consolidated statements of operations and comprehensive loss on a straight-line basis over the lease term.</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0" w:lineRule="exact"/>
        <w:rPr>
          <w:sz w:val="20"/>
          <w:szCs w:val="20"/>
          <w:color w:val="auto"/>
        </w:rPr>
      </w:pPr>
    </w:p>
    <w:p>
      <w:pPr>
        <w:ind w:right="240"/>
        <w:spacing w:after="0" w:line="247" w:lineRule="auto"/>
        <w:rPr>
          <w:sz w:val="20"/>
          <w:szCs w:val="20"/>
          <w:color w:val="auto"/>
        </w:rPr>
      </w:pPr>
      <w:r>
        <w:rPr>
          <w:rFonts w:ascii="Times New Roman" w:cs="Times New Roman" w:eastAsia="Times New Roman" w:hAnsi="Times New Roman"/>
          <w:sz w:val="21"/>
          <w:szCs w:val="21"/>
          <w:color w:val="auto"/>
        </w:rPr>
        <w:t>In August 2020, the Financial Accounting Standards Board (“FASB”) issued accounting standards update (“ASU”) No. 2020-06, Debt-Debt with Conversion and Other Options (Subtopic 470-20) and Derivatives and Hedging-Contracts in Entity’s Own Equity (Subtopic 815-40): Accounting for Convertible Instruments and Contracts in an Entity’s Own Equity, which simplifies accounting for convertible instruments by removing major separation models required under current GAAP. The ASU removes certain settlement conditions that are required for equity contracts to qualify for the derivative scope exception and it also simplifies the diluted earnings per share calculation in certain areas. This guidance is effective for fiscal years, and interim periods within those fiscal years, beginning after December 15, 2023. Early adoption will be permitted. The Company is currently evaluating the impact of this standard on its condensed consolidated financial statements.</w:t>
      </w:r>
    </w:p>
    <w:p>
      <w:pPr>
        <w:spacing w:after="0" w:line="181"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December 2019, FASB issued ASU-2019-12, Income Taxes (Topic 740): Simplifying the Accounting for Income Taxes, intended to simplify accounting for income taxes. It removes certain exceptions to the general principles in Topic 740, Income Taxes and amends existing guidance to improve consistent application. This guidance is effective for fiscal years, and interim periods within those fiscal years, beginning after December 15, 2020, with early adoption permitted. The Company adopted this standard on January 1, 2021. The Company’s adoption of the new guidance did not have a material impact on its condensed consolidated financial statements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sect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u w:val="single" w:color="auto"/>
          <w:color w:val="0000EE"/>
        </w:rPr>
        <w:t>Table Of Contents</w:t>
      </w:r>
    </w:p>
    <w:p>
      <w:pPr>
        <w:sectPr>
          <w:pgSz w:w="11900" w:h="16838" w:orient="portrait"/>
          <w:cols w:equalWidth="0" w:num="1">
            <w:col w:w="11240"/>
          </w:cols>
          <w:pgMar w:left="320" w:top="121" w:right="339" w:bottom="0" w:gutter="0" w:footer="0" w:header="0"/>
          <w:type w:val="continuous"/>
        </w:sectPr>
      </w:pPr>
    </w:p>
    <w:bookmarkStart w:id="6" w:name="page7"/>
    <w:bookmarkEnd w:id="6"/>
    <w:p>
      <w:pPr>
        <w:spacing w:after="0" w:line="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June 2016, the FASB issued an accounting standard, ASU-2016-13, Financial Instruments-Credit Losses (Topic 326): Measurement of Credit Losses on Financial Instruments, that amends how credit losses are measured and reported for certain financial instruments that are not accounted for at fair value through net income. This standard requires that credit losses be presented as an allowance rather than as a write-down for available-for-sale debt securities and will be effective for interim and annual reporting periods beginning January 1, 2023, with early adoption permitted. A modified retrospective approach is to be used for certain parts of this guidance, while other parts of the guidance are to be applied using a prospective approach. The Company does not believe the adoption of this standard will have a material impact on its condensed consolidated financial statements and related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Fair Value</w:t>
      </w:r>
    </w:p>
    <w:p>
      <w:pPr>
        <w:spacing w:after="0" w:line="22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determines the fair value of its financial assets and liabilities in accordance with the Accounting Standards Codification (“ASC”) 820, Fair Value Measurements. The Company’s balance sheet includes the following financial instruments: cash and cash equivalents, investments in marketable securities and short-term notes payable. The Company considers the carrying amount of its cash and cash equivalents and short-term notes payable to approximate fair value due to the short-term nature of these instruments.</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Accounting for fair value measurements involves a single definition of fair value, along with a conceptual framework to measure fair value, with a fair value defined as “the price that would be received to sell an asset or paid to transfer a liability in an orderly transaction between market participants at the measurement date”. The fair value measurement hierarchy consists of three levels:</w:t>
      </w:r>
    </w:p>
    <w:p>
      <w:pPr>
        <w:sectPr>
          <w:pgSz w:w="11900" w:h="16845" w:orient="portrait"/>
          <w:cols w:equalWidth="0" w:num="1">
            <w:col w:w="11240"/>
          </w:cols>
          <w:pgMar w:left="320" w:top="553" w:right="339" w:bottom="0" w:gutter="0" w:footer="0" w:header="0"/>
        </w:sectPr>
      </w:pP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one</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Quoted market prices in active markets for identical assets or liabilities;</w:t>
      </w:r>
    </w:p>
    <w:p>
      <w:pPr>
        <w:spacing w:after="0" w:line="211" w:lineRule="exact"/>
        <w:rPr>
          <w:sz w:val="20"/>
          <w:szCs w:val="20"/>
          <w:color w:val="auto"/>
        </w:rPr>
      </w:pPr>
    </w:p>
    <w:p>
      <w:pPr>
        <w:sectPr>
          <w:pgSz w:w="11900" w:h="16845" w:orient="portrait"/>
          <w:cols w:equalWidth="0" w:num="2">
            <w:col w:w="720" w:space="500"/>
            <w:col w:w="10020"/>
          </w:cols>
          <w:pgMar w:left="320" w:top="553" w:right="33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two</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Inputs other than level one inputs that are either directly or indirectly observable; and</w:t>
      </w:r>
    </w:p>
    <w:p>
      <w:pPr>
        <w:spacing w:after="0" w:line="211" w:lineRule="exact"/>
        <w:rPr>
          <w:sz w:val="20"/>
          <w:szCs w:val="20"/>
          <w:color w:val="auto"/>
        </w:rPr>
      </w:pPr>
    </w:p>
    <w:p>
      <w:pPr>
        <w:sectPr>
          <w:pgSz w:w="11900" w:h="16845" w:orient="portrait"/>
          <w:cols w:equalWidth="0" w:num="2">
            <w:col w:w="740" w:space="480"/>
            <w:col w:w="10020"/>
          </w:cols>
          <w:pgMar w:left="320" w:top="553" w:right="33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three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ind w:right="900"/>
        <w:spacing w:after="0" w:line="282" w:lineRule="auto"/>
        <w:rPr>
          <w:sz w:val="20"/>
          <w:szCs w:val="20"/>
          <w:color w:val="auto"/>
        </w:rPr>
      </w:pPr>
      <w:r>
        <w:rPr>
          <w:rFonts w:ascii="Times New Roman" w:cs="Times New Roman" w:eastAsia="Times New Roman" w:hAnsi="Times New Roman"/>
          <w:sz w:val="18"/>
          <w:szCs w:val="18"/>
          <w:color w:val="auto"/>
        </w:rPr>
        <w:t>Unobservable inputs developed using estimates and assumptions; which are developed by the reporting entity and reflect those assumptions that a market participant would use.</w:t>
      </w:r>
    </w:p>
    <w:p>
      <w:pPr>
        <w:spacing w:after="0" w:line="162" w:lineRule="exact"/>
        <w:rPr>
          <w:sz w:val="20"/>
          <w:szCs w:val="20"/>
          <w:color w:val="auto"/>
        </w:rPr>
      </w:pPr>
    </w:p>
    <w:p>
      <w:pPr>
        <w:sectPr>
          <w:pgSz w:w="11900" w:h="16845" w:orient="portrait"/>
          <w:cols w:equalWidth="0" w:num="2">
            <w:col w:w="820" w:space="400"/>
            <w:col w:w="10020"/>
          </w:cols>
          <w:pgMar w:left="320" w:top="553" w:right="339" w:bottom="0" w:gutter="0" w:footer="0" w:header="0"/>
          <w:type w:val="continuous"/>
        </w:sect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Company applies valuation techniques that (1) place greater reliance on observable inputs and less reliance on unobservable inputs and (2) are consistent with the market approach, the income approach and/or the cost approach, and include enhanced disclosures of fair value measurements in the Company’s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Marketable Securities</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The Company classifies all of its investments as available-for-sale. Unrealized gains and losses on investments are recognized in comprehensive income/(loss), unless an unrealized loss is considered to be other than temporary, in which case the unrealized loss is charged to operations. The Company periodically reviews its investments for other than temporary declines in fair value below cost basis and whenever events or changes in circumstances indicate that the carrying amount of an asset may not be recoverable. The Company believes the individual unrealized losses represent temporary declines primarily resulting from interest rate changes. Realized gains and losses are reflected in other income in the condensed consolidated statements of comprehensive loss and are determined using the specific identification method with transactions recorded on a settlement date basis. Investments with original maturities at date of purchase beyond three months and which mature at or less than 12 months from the balance sheet date are classified as current. Investments with a maturity beyond 12 months from the balance sheet date are classified as long-term. As of March 31, 2022, the Company held no investments in marketable securities.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and equipment primarily consist of office furniture and fixtures.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was $1,400 and $1,100 for the three months ended March 31, 2022 and 2021, respectively.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Accrued liabilities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liabilities consist of the following:</w:t>
            </w: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0" w:type="dxa"/>
            <w:vAlign w:val="bottom"/>
          </w:tcPr>
          <w:p>
            <w:pPr>
              <w:spacing w:after="0"/>
              <w:rPr>
                <w:sz w:val="24"/>
                <w:szCs w:val="24"/>
                <w:color w:val="auto"/>
              </w:rPr>
            </w:pPr>
          </w:p>
        </w:tc>
        <w:tc>
          <w:tcPr>
            <w:tcW w:w="7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December</w:t>
            </w:r>
          </w:p>
        </w:tc>
      </w:tr>
      <w:tr>
        <w:trPr>
          <w:trHeight w:val="216"/>
        </w:trPr>
        <w:tc>
          <w:tcPr>
            <w:tcW w:w="86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18"/>
                <w:szCs w:val="18"/>
                <w:color w:val="auto"/>
              </w:rPr>
            </w:pPr>
          </w:p>
        </w:tc>
      </w:tr>
      <w:tr>
        <w:trPr>
          <w:trHeight w:val="238"/>
        </w:trPr>
        <w:tc>
          <w:tcPr>
            <w:tcW w:w="86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86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costs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261,384</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110,144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107,192</w:t>
            </w:r>
          </w:p>
        </w:tc>
        <w:tc>
          <w:tcPr>
            <w:tcW w:w="10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 related</w:t>
            </w: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88,978</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597,148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60" w:type="dxa"/>
            <w:vAlign w:val="bottom"/>
          </w:tcPr>
          <w:p>
            <w:pPr>
              <w:spacing w:after="0"/>
              <w:rPr>
                <w:sz w:val="18"/>
                <w:szCs w:val="18"/>
                <w:color w:val="auto"/>
              </w:rPr>
            </w:pPr>
          </w:p>
        </w:tc>
        <w:tc>
          <w:tcPr>
            <w:tcW w:w="73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460,506</w:t>
            </w:r>
          </w:p>
        </w:tc>
        <w:tc>
          <w:tcPr>
            <w:tcW w:w="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704,340</w:t>
            </w:r>
          </w:p>
        </w:tc>
        <w:tc>
          <w:tcPr>
            <w:tcW w:w="100" w:type="dxa"/>
            <w:vAlign w:val="bottom"/>
          </w:tcPr>
          <w:p>
            <w:pPr>
              <w:spacing w:after="0"/>
              <w:rPr>
                <w:sz w:val="18"/>
                <w:szCs w:val="18"/>
                <w:color w:val="auto"/>
              </w:rPr>
            </w:pPr>
          </w:p>
        </w:tc>
      </w:tr>
      <w:tr>
        <w:trPr>
          <w:trHeight w:val="20"/>
        </w:trPr>
        <w:tc>
          <w:tcPr>
            <w:tcW w:w="86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5. NOTE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Financed Insurance Premium</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entered into a Premium Finance Agreement with Premium Funding Associates, Inc. in connection with certain of the Company’s insurance policies and, pursuant thereto, issued a note payable to Premium Funding, Inc. for $364,546 (the “Note”). The Note has an eight-month term, bears interest at a rate of 3.24% per annum, and is secured by the policies. Under the terms of the Note, the Company is required to make monthly installments of</w:t>
      </w:r>
    </w:p>
    <w:p>
      <w:pPr>
        <w:sectPr>
          <w:pgSz w:w="11900" w:h="16845" w:orient="portrait"/>
          <w:cols w:equalWidth="0" w:num="1">
            <w:col w:w="11240"/>
          </w:cols>
          <w:pgMar w:left="320" w:top="553" w:right="339" w:bottom="0" w:gutter="0" w:footer="0" w:header="0"/>
          <w:type w:val="continuous"/>
        </w:sectPr>
      </w:pPr>
    </w:p>
    <w:bookmarkStart w:id="7" w:name="page8"/>
    <w:bookmarkEnd w:id="7"/>
    <w:p>
      <w:pPr>
        <w:spacing w:after="0" w:line="282" w:lineRule="auto"/>
        <w:rPr>
          <w:sz w:val="20"/>
          <w:szCs w:val="20"/>
          <w:color w:val="auto"/>
        </w:rPr>
      </w:pPr>
      <w:r>
        <w:rPr>
          <w:rFonts w:ascii="Times New Roman" w:cs="Times New Roman" w:eastAsia="Times New Roman" w:hAnsi="Times New Roman"/>
          <w:sz w:val="18"/>
          <w:szCs w:val="18"/>
          <w:color w:val="auto"/>
        </w:rPr>
        <w:t>principal and interest totaling $46,124 through August 31, 2022. The Company recorded interest expense of $2,587 for the three months ended March 31, 2022. The balance on the Note as of March 31, 2022 was $228,762.</w:t>
      </w: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6. LEASE</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January 2011, the Company entered into a lease with Concourse Associates, LLC for its headquarters in Morrisville, North Carolina (the “Lease”). The Lease was amended in August 2015 to extend the term for the 5,954 square foot rental. The current term began on March 1, 2016 and continued for 64 months to June 30, 2021. Rent payments began on July 1, 2016, following the conclusion of a four-month rent abatement period. The Company has two five-year options to extend the Lease and a one-time option to terminate the Lease thirty-six months after the commencement of the initial term if no additional space became available. On April 2, 2021, the Company negotiated a 3-year extension to the existing lease term, commencing July 1, 2021 (the “Commencement Date”). Beginning on the Commencement Date, the annual base rent was increased to $125,034 and will increase 2.5% annually for lease years 2 and 3.</w:t>
      </w:r>
    </w:p>
    <w:p>
      <w:pPr>
        <w:spacing w:after="0" w:line="18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performed an evaluation of its other contracts with customers and suppliers in accordance with ASC 842, Leases, and determined that, except for the Lease described above, none of the Company’s contracts contain a lease.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balance sheet classification of our lease liabilities was as follows:</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December</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0" w:type="dxa"/>
            <w:vAlign w:val="bottom"/>
          </w:tcPr>
          <w:p>
            <w:pPr>
              <w:spacing w:after="0"/>
              <w:rPr>
                <w:sz w:val="20"/>
                <w:szCs w:val="20"/>
                <w:color w:val="auto"/>
              </w:rPr>
            </w:pPr>
          </w:p>
        </w:tc>
        <w:tc>
          <w:tcPr>
            <w:tcW w:w="6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portion included in accrued liabilities</w:t>
            </w:r>
          </w:p>
        </w:tc>
        <w:tc>
          <w:tcPr>
            <w:tcW w:w="12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110,144</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Long term lease liability</w:t>
            </w:r>
          </w:p>
        </w:tc>
        <w:tc>
          <w:tcPr>
            <w:tcW w:w="10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155,024</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63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265,168</w:t>
            </w: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290,781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 of March 31, 2022, the maturities of our operating lease liabilities were as follows:</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2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0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60" w:type="dxa"/>
            <w:vAlign w:val="bottom"/>
            <w:vMerge w:val="restart"/>
          </w:tcPr>
          <w:p>
            <w:pPr>
              <w:spacing w:after="0"/>
              <w:rPr>
                <w:sz w:val="18"/>
                <w:szCs w:val="18"/>
                <w:color w:val="auto"/>
              </w:rPr>
            </w:pPr>
          </w:p>
        </w:tc>
        <w:tc>
          <w:tcPr>
            <w:tcW w:w="6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60" w:type="dxa"/>
            <w:vAlign w:val="bottom"/>
            <w:gridSpan w:val="2"/>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290,852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20" w:lineRule="exact"/>
              <w:rPr>
                <w:sz w:val="1"/>
                <w:szCs w:val="1"/>
                <w:color w:val="auto"/>
              </w:rPr>
            </w:pPr>
          </w:p>
        </w:tc>
        <w:tc>
          <w:tcPr>
            <w:tcW w:w="6360" w:type="dxa"/>
            <w:vAlign w:val="bottom"/>
            <w:shd w:val="clear" w:color="auto" w:fill="CCEEFF"/>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vMerge w:val="continue"/>
          </w:tcPr>
          <w:p>
            <w:pPr>
              <w:spacing w:after="0"/>
              <w:rPr>
                <w:sz w:val="18"/>
                <w:szCs w:val="18"/>
                <w:color w:val="auto"/>
              </w:rPr>
            </w:pPr>
          </w:p>
        </w:tc>
        <w:tc>
          <w:tcPr>
            <w:tcW w:w="636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(25,684)</w:t>
            </w:r>
          </w:p>
        </w:tc>
        <w:tc>
          <w:tcPr>
            <w:tcW w:w="0" w:type="dxa"/>
            <w:vAlign w:val="bottom"/>
          </w:tcPr>
          <w:p>
            <w:pPr>
              <w:spacing w:after="0"/>
              <w:rPr>
                <w:sz w:val="1"/>
                <w:szCs w:val="1"/>
                <w:color w:val="auto"/>
              </w:rPr>
            </w:pPr>
          </w:p>
        </w:tc>
      </w:tr>
      <w:tr>
        <w:trPr>
          <w:trHeight w:val="20"/>
        </w:trPr>
        <w:tc>
          <w:tcPr>
            <w:tcW w:w="860" w:type="dxa"/>
            <w:vAlign w:val="bottom"/>
            <w:vMerge w:val="restart"/>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60" w:type="dxa"/>
            <w:vAlign w:val="bottom"/>
            <w:vMerge w:val="continue"/>
          </w:tcPr>
          <w:p>
            <w:pPr>
              <w:spacing w:after="0"/>
              <w:rPr>
                <w:sz w:val="19"/>
                <w:szCs w:val="19"/>
                <w:color w:val="auto"/>
              </w:rPr>
            </w:pPr>
          </w:p>
        </w:tc>
        <w:tc>
          <w:tcPr>
            <w:tcW w:w="6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 liability</w:t>
            </w:r>
          </w:p>
        </w:tc>
        <w:tc>
          <w:tcPr>
            <w:tcW w:w="10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265,168</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63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Operating lease liabilities are based on the net present value of the remaining lease payments over the remaining lease term. In determining the present value of lease payments, the Company used the incremental borrowing rate based on the information available at its Lease’s Commencement Date. As of March 31, 2022, the remaining Lease term is twenty-seven months and the discount rate used to determine the operating lease liability was 8.0%. For the three months ending March 31, 2022, the Company paid $32,809 in total lease expenses, including $1,551 for common area maintenance charges.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MERGER</w:t>
      </w:r>
    </w:p>
    <w:p>
      <w:pPr>
        <w:spacing w:after="0" w:line="229"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On January 15, 2021, the Company, Life Newco II, PHPM, and Dr. Rich, as Representative, entered into the Merger Agreement, pursuant to which, the Company acquired all of the equity of PHPM. Under the terms of the Merger Agreement, Life Newco II merged with and into PHPM, with PHPM surviving as a wholly-owned subsidiary of the Company.</w:t>
      </w:r>
    </w:p>
    <w:p>
      <w:pPr>
        <w:spacing w:after="0" w:line="176"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consideration for the Merger, the stockholders of PHPM received (i) 1,892,905 shares of Company common stock, and (ii) 10,232 shares of the Company’s Series B convertible preferred stock (“Series B Stock”), which were convertible into up to an aggregate of 10,232,000 shares of common stock (collectively, the “Merger Consideration”). To satisfy the Company’s post-closing rights to closing adjustments and indemnification by PHPM and the former stockholders of PHPM pursuant to the Merger Agreement, 1,212,492 shares of common stock issuable upon conversion of the Series B Stock, which represented approximately 10% of the Merger Consideration, are subject to holdback restrictions for 24 months following closing of the transaction (the “Holdback Shares”).</w:t>
      </w:r>
    </w:p>
    <w:p>
      <w:pPr>
        <w:spacing w:after="0" w:line="18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Pursuant to the Merger Agreement, the Company’s Board of Directors, at its annual meeting of stockholders held on June 10, 2021, recommended to the Company’s stockholders, and the stockholders approved, the conversion of the Series B Stock pursuant to the Certificate of Designation. As a result, each share of Series B Stock automatically converted into (i) 881.5 shares of common stock, and (ii) the right to receive up to 118.5 Holdback Shares, to be delivered 24 months after the date of issuance of the Series B Stock, subject to reduction for indemnification claims.</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Pursuant to the terms of the Merger Agreement, on February 25, 2021, the Board appointed three directors designated by the PHPM representative to serve on the Board, Dr. Rich, the co-founder and Chief Executive Officer and a stockholder of PHPM, and Drs. Michael Davidson and Declan Doogan. In connection with the closing of the Merger, Dr. Rich also was appointed Chief Medical Officer of the Company.</w:t>
      </w:r>
    </w:p>
    <w:p>
      <w:pPr>
        <w:spacing w:after="0" w:line="176"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Company evaluated this acquisition in accordance with ASC 805, Business Combinations, to determine whether the assets and operations of PHPM met the definition of a business. Included in the in-process research and development project is the historical know-how, formula protocols, designs, and procedures expected to be needed to complete the related phase of testing. The Company concluded that the in-process research and development project is an identifiable intangible asset that would be accounted for as a single asset in a business combination. The Company also qualitatively concluded that there is no fair value associated with the clinical research organization contract and the clinical manufacturing organization contract because the services are being provided at market rates and could be provided by multiple vendors in the marketplace. Therefore, all of the consideration in the transaction was</w:t>
      </w:r>
    </w:p>
    <w:p>
      <w:pPr>
        <w:sectPr>
          <w:pgSz w:w="11900" w:h="16838" w:orient="portrait"/>
          <w:cols w:equalWidth="0" w:num="1">
            <w:col w:w="11240"/>
          </w:cols>
          <w:pgMar w:left="320" w:top="121" w:right="339" w:bottom="0" w:gutter="0" w:footer="0" w:header="0"/>
        </w:sectPr>
      </w:pPr>
    </w:p>
    <w:bookmarkStart w:id="8" w:name="page9"/>
    <w:bookmarkEnd w:id="8"/>
    <w:p>
      <w:pPr>
        <w:spacing w:after="0" w:line="10" w:lineRule="exact"/>
        <w:rPr>
          <w:sz w:val="20"/>
          <w:szCs w:val="20"/>
          <w:color w:val="auto"/>
        </w:rPr>
      </w:pPr>
    </w:p>
    <w:p>
      <w:pPr>
        <w:ind w:right="800"/>
        <w:spacing w:after="0" w:line="282" w:lineRule="auto"/>
        <w:rPr>
          <w:sz w:val="20"/>
          <w:szCs w:val="20"/>
          <w:color w:val="auto"/>
        </w:rPr>
      </w:pPr>
      <w:r>
        <w:rPr>
          <w:rFonts w:ascii="Times New Roman" w:cs="Times New Roman" w:eastAsia="Times New Roman" w:hAnsi="Times New Roman"/>
          <w:sz w:val="18"/>
          <w:szCs w:val="18"/>
          <w:color w:val="auto"/>
        </w:rPr>
        <w:t>allocated to the in-process research and development project. As such, the Company concluded that substantially all of the fair value of the gross assets acquired was concentrated in the single in-process research and development asset and the set was not a business.</w:t>
      </w:r>
    </w:p>
    <w:p>
      <w:pPr>
        <w:spacing w:after="0" w:line="16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is planning to use the acquired asset to further its clinical development in an upcoming Phase 3 clinical trial for the treatment of patients with PAH. Although the acquired asset may have utility in other patient populations, future development decisions for the acquired asset will be contingent upon the results of the contemplated Phase 3 program for PAH. As such, the acquired asset does not have an alternative future use at the acquisition date. In accordance with ASC 730, Research and Development, the Company concluded the entire Purchase Price for the asset acquisition was an expense on the acquisition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i w:val="1"/>
                <w:iCs w:val="1"/>
                <w:color w:val="0000EE"/>
                <w:w w:val="98"/>
              </w:rPr>
              <w:t>Table Of Contents</w:t>
            </w:r>
          </w:p>
        </w:tc>
        <w:tc>
          <w:tcPr>
            <w:tcW w:w="6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8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consideration transferred, assets acquired and liabilities assumed were recognized as follows:</w:t>
            </w: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0" w:type="dxa"/>
            <w:vAlign w:val="bottom"/>
            <w:vMerge w:val="restart"/>
          </w:tcPr>
          <w:p>
            <w:pPr>
              <w:spacing w:after="0"/>
              <w:rPr>
                <w:sz w:val="18"/>
                <w:szCs w:val="18"/>
                <w:color w:val="auto"/>
              </w:rPr>
            </w:pPr>
          </w:p>
        </w:tc>
        <w:tc>
          <w:tcPr>
            <w:tcW w:w="46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Fair value of shares of Common Stock issued</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3,369,371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Fair Value of Series B Convertible Preferred Stock issued at closing</w:t>
            </w:r>
          </w:p>
        </w:tc>
        <w:tc>
          <w:tcPr>
            <w:tcW w:w="1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18,212,960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0" w:type="dxa"/>
            <w:vAlign w:val="bottom"/>
          </w:tcPr>
          <w:p>
            <w:pPr>
              <w:spacing w:after="0"/>
              <w:rPr>
                <w:sz w:val="21"/>
                <w:szCs w:val="21"/>
                <w:color w:val="auto"/>
              </w:rPr>
            </w:pPr>
          </w:p>
        </w:tc>
        <w:tc>
          <w:tcPr>
            <w:tcW w:w="7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fair value of consideration transferred</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21,582,331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860" w:type="dxa"/>
            <w:vAlign w:val="bottom"/>
            <w:vMerge w:val="restart"/>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6880" w:type="dxa"/>
            <w:vAlign w:val="bottom"/>
            <w:tcBorders>
              <w:top w:val="single" w:sz="8" w:color="CCEEFF"/>
            </w:tcBorders>
          </w:tcPr>
          <w:p>
            <w:pPr>
              <w:spacing w:after="0"/>
              <w:rPr>
                <w:sz w:val="17"/>
                <w:szCs w:val="17"/>
                <w:color w:val="auto"/>
              </w:rPr>
            </w:pPr>
          </w:p>
        </w:tc>
        <w:tc>
          <w:tcPr>
            <w:tcW w:w="11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0" w:type="dxa"/>
            <w:vAlign w:val="bottom"/>
            <w:vMerge w:val="continue"/>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Tangible assets acquired</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Accounts payable assumed</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60" w:type="dxa"/>
            <w:vAlign w:val="bottom"/>
          </w:tcPr>
          <w:p>
            <w:pPr>
              <w:spacing w:after="0"/>
              <w:rPr>
                <w:sz w:val="18"/>
                <w:szCs w:val="18"/>
                <w:color w:val="auto"/>
              </w:rPr>
            </w:pPr>
          </w:p>
        </w:tc>
        <w:tc>
          <w:tcPr>
            <w:tcW w:w="73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identifiable net assets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(150,000)</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IPR&amp;D expense recognized</w:t>
            </w:r>
          </w:p>
        </w:tc>
        <w:tc>
          <w:tcPr>
            <w:tcW w:w="1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21,732,331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0" w:type="dxa"/>
            <w:vAlign w:val="bottom"/>
          </w:tcPr>
          <w:p>
            <w:pPr>
              <w:spacing w:after="0"/>
              <w:rPr>
                <w:sz w:val="19"/>
                <w:szCs w:val="19"/>
                <w:color w:val="auto"/>
              </w:rPr>
            </w:pPr>
          </w:p>
        </w:tc>
        <w:tc>
          <w:tcPr>
            <w:tcW w:w="73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Total fair value of consideration</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21,582,331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0" w:type="dxa"/>
            <w:vAlign w:val="bottom"/>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688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Simdax license agreement</w:t>
      </w:r>
    </w:p>
    <w:p>
      <w:pPr>
        <w:spacing w:after="0" w:line="229"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On November 13, 2013, the Company acquired, through its wholly-owned subsidiary, Life Newco, that certain License, dated September 20, 2013, as amended on October 9, 2020 and January 25, 2022, by and between Phyxius and Orion, and that certain Side Letter, dated October 15, 2013 by and between Phyxius and Orion. The License grants the Company an exclusive, sublicensable right to develop and commercialize pharmaceutical products containing levosimendan in the Territory and, pursuant to the October 9, 2020 and January 25, 2022 amendments, also includes two product dose forms containing levosimendan, in capsule and solid dosage form, and a subcutaneously administered product containing levosimendan, subject to specified limitations in the License. Pursuant to the License, the Company and Orion will agree to a new trademark when commercializing levosimendan in either of these forms.</w:t>
      </w:r>
    </w:p>
    <w:p>
      <w:pPr>
        <w:spacing w:after="0" w:line="189"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License also grants the Company a right of first refusal to commercialize new developments of the Product, including developments as to the formulation, presentation, means of delivery, route of administration, dosage or indication (i.e., line extension products).</w:t>
      </w:r>
    </w:p>
    <w:p>
      <w:pPr>
        <w:spacing w:after="0" w:line="16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Orion’s ongoing role under the License includes sublicense approval, serving as the sole source of manufacture, holding a first right to enforce intellectual property rights in the Territory, and certain regulatory participation rights. Orion must notify the Company before the end of 2024 if it chooses not to exercise its right to supply oral formulations of levosimendan to the Company for commercialization in the Territory. Additionally, the Company must grant back to Orion a broad non-exclusive license to any patents or clinical trial data related to the Product developed by the Company under the License. The term of the License extends until 10 years after the launch of the Product in the Territory, provided that the License will continue after the end of the term in each country in the Territory until the expiration of Orion’s patent rights in the Product in such country. In the event that no regulatory approval for the Product has been granted in the United States on or before September 20, 2030, however, either party will have the right to terminate the License with immediate effect.</w:t>
      </w:r>
    </w:p>
    <w:p>
      <w:pPr>
        <w:spacing w:after="0" w:line="19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Pursuant to the terms of the License, on November 13, 2013, the Company paid to Orion a non-refundable up-front payment in the amount of $1.0 million. The License also includes the following development milestones for which the Company must make non-refundable payments to Orion no later than 28 days after the occurrence of the applicable milestone event: (1) $2.0 million upon the grant of United States Food and Drug Administration approval, including all registrations, licenses, authorizations and necessary approvals, to develop and/or commercialize the Product in the United States; and (2) $1.0 million upon the grant of regulatory approval for the Product in Canada. Once commercialized, the Company is obligated to make certain non-refundable commercialization milestone payments to Orion, aggregating to up to $13.0 million, contingent upon achievement of certain cumulative net sales amounts in the Territory. The Company also must pay Orion tiered royalties based on net sales of the Product in the Territory made by the Company and its sublicensees. After the end of the License term, the Company must pay Orion a royalty based on net sales of the Product in the Territory for as long as the Company sells the Product in the Territory.</w:t>
      </w:r>
    </w:p>
    <w:p>
      <w:pPr>
        <w:spacing w:after="0" w:line="188"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March 31, 2022, the Company has not met any of the developmental milestones under the License and, accordingly, has not recorded any liability for the contingent payments due to Orion.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STOCKHOLDERS’ EQUITY</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Under the Company’s Certificate of Incorporation, the Board is authorized, without further stockholder action, to provide for the issuance of up to 10,000,000 shares of preferred stock, par value $0.0001 per share, in one or more series, to establish from time to time the number of shares to be included in each such series, and to fix the designation, powers, preferences and rights of the shares of each such series and the qualifications, limitations and restrictions thereof.</w:t>
      </w:r>
    </w:p>
    <w:p>
      <w:pPr>
        <w:sectPr>
          <w:pgSz w:w="11900" w:h="16848" w:orient="portrait"/>
          <w:cols w:equalWidth="0" w:num="1">
            <w:col w:w="11240"/>
          </w:cols>
          <w:pgMar w:left="320" w:top="121" w:right="339" w:bottom="0" w:gutter="0" w:footer="0" w:header="0"/>
        </w:sectPr>
      </w:pP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B Stock</w:t>
      </w:r>
    </w:p>
    <w:p>
      <w:pPr>
        <w:sectPr>
          <w:pgSz w:w="11900" w:h="16848" w:orient="portrait"/>
          <w:cols w:equalWidth="0" w:num="1">
            <w:col w:w="11240"/>
          </w:cols>
          <w:pgMar w:left="320" w:top="121" w:right="339" w:bottom="0" w:gutter="0" w:footer="0" w:header="0"/>
          <w:type w:val="continuous"/>
        </w:sectPr>
      </w:pPr>
    </w:p>
    <w:bookmarkStart w:id="9" w:name="page10"/>
    <w:bookmarkEnd w:id="9"/>
    <w:p>
      <w:pPr>
        <w:spacing w:after="0" w:line="266" w:lineRule="auto"/>
        <w:rPr>
          <w:sz w:val="20"/>
          <w:szCs w:val="20"/>
          <w:color w:val="auto"/>
        </w:rPr>
      </w:pPr>
      <w:r>
        <w:rPr>
          <w:rFonts w:ascii="Times New Roman" w:cs="Times New Roman" w:eastAsia="Times New Roman" w:hAnsi="Times New Roman"/>
          <w:sz w:val="18"/>
          <w:szCs w:val="18"/>
          <w:color w:val="auto"/>
        </w:rPr>
        <w:t>As further discussed in “Note 7—Merger” above, on January 15, 2021 the Company issued 10,232 shares of its Series B Stock, which were convertible into an aggregate of 10,232,000 shares of common stock, to the stockholders of PHPM as partial consideration for the Merger with PHPM pursuant to the Merger Agreement.</w:t>
      </w:r>
    </w:p>
    <w:p>
      <w:pPr>
        <w:spacing w:after="0" w:line="176"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rights, preferences and privileges of the Series B Stock are set forth in the Certificate of Designation. Following receipt of the approval of the stockholders of the Company on June 10, 2021 for the Conversion, each share of Series B Stock automatically converted into (i) 881.5 shares of common stock and (ii) the right to receive up to 118.5 Holdback Shares, to be delivered 24 months after the date of issuance of the Series B Stock, subject to reduction for indemnification claims.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there were no shares of Series B Stock outstanding.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A Stock</w:t>
      </w:r>
    </w:p>
    <w:p>
      <w:pPr>
        <w:spacing w:after="0" w:line="227"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7"/>
          <w:szCs w:val="17"/>
          <w:color w:val="auto"/>
        </w:rPr>
        <w:t>On December 11, 2018, the Company closed its underwritten offering of 5,181,346 units for net proceeds of approximately $9.0 million (the “2018 Offering”). Each unit consisted of (i) one share of the Company’s Series A convertible preferred stock, par value $0.0001 per share (the “Series A Stock”),</w:t>
      </w:r>
    </w:p>
    <w:p>
      <w:pPr>
        <w:spacing w:after="0" w:line="1" w:lineRule="exact"/>
        <w:rPr>
          <w:sz w:val="20"/>
          <w:szCs w:val="20"/>
          <w:color w:val="auto"/>
        </w:rPr>
      </w:pPr>
    </w:p>
    <w:p>
      <w:pPr>
        <w:ind w:right="100" w:firstLine="8"/>
        <w:spacing w:after="0" w:line="255" w:lineRule="auto"/>
        <w:tabs>
          <w:tab w:leader="none" w:pos="26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two-year warrant to purchase one share of common stock at an exercise price of $1.93, and (iii) a five-year warrant to purchase one share of common stock at an exercise price of $1.93. In accordance with ASC 480, Distinguishing Liabilities from Equity, the estimated fair value of $1,800,016 for the beneficial conversion feature was recognized as a deemed dividend on the Series A Stock during the year ended December 31, 2020.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sets forth a summary of the designation, powers, preferences and rights of the Series A Stock.</w:t>
      </w:r>
    </w:p>
    <w:p>
      <w:pPr>
        <w:sectPr>
          <w:pgSz w:w="11900" w:h="16838" w:orient="portrait"/>
          <w:cols w:equalWidth="0" w:num="1">
            <w:col w:w="11240"/>
          </w:cols>
          <w:pgMar w:left="320" w:top="337" w:right="339" w:bottom="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Conversion</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ownership limitations described below, the Series A Stock is convertible at any time at the option of the holder into shares of the Company’s common stock at a conversion ratio determined by dividing the stated value of the Series A Stock by a conversion price of $1.93 per share. The conversion price is subject to adjustment in the case of stock splits, stock dividends, combinations of shares and similar recapitalization transactions.</w:t>
      </w:r>
    </w:p>
    <w:p>
      <w:pPr>
        <w:spacing w:after="0" w:line="180" w:lineRule="exact"/>
        <w:rPr>
          <w:sz w:val="20"/>
          <w:szCs w:val="20"/>
          <w:color w:val="auto"/>
        </w:rPr>
      </w:pPr>
    </w:p>
    <w:p>
      <w:pPr>
        <w:sectPr>
          <w:pgSz w:w="11900" w:h="16838" w:orient="portrait"/>
          <w:cols w:equalWidth="0" w:num="2">
            <w:col w:w="840" w:space="480"/>
            <w:col w:w="9920"/>
          </w:cols>
          <w:pgMar w:left="320" w:top="337" w:right="339" w:bottom="0" w:gutter="0" w:footer="0" w:header="0"/>
          <w:type w:val="continuous"/>
        </w:sectPr>
      </w:pPr>
    </w:p>
    <w:p>
      <w:pPr>
        <w:jc w:val="both"/>
        <w:ind w:left="1320"/>
        <w:spacing w:after="0" w:line="261" w:lineRule="auto"/>
        <w:rPr>
          <w:sz w:val="20"/>
          <w:szCs w:val="20"/>
          <w:color w:val="auto"/>
        </w:rPr>
      </w:pPr>
      <w:r>
        <w:rPr>
          <w:rFonts w:ascii="Times New Roman" w:cs="Times New Roman" w:eastAsia="Times New Roman" w:hAnsi="Times New Roman"/>
          <w:sz w:val="18"/>
          <w:szCs w:val="18"/>
          <w:color w:val="auto"/>
        </w:rPr>
        <w:t>The Company will not affect any conversion of the Series A Stock, nor shall a holder convert its shares of Series A Stock, to the extent that such conversion would cause the holder to have acquired, through conversion of the Series A Stock or otherwise, beneficial ownership of a number shares of common stock in excess of 4.99% (or, at the election of the holder prior to the issuance of any shares of Series A Stock, 9.99%) of the common stock outstanding after giving effect to such exercise.</w:t>
      </w:r>
    </w:p>
    <w:p>
      <w:pPr>
        <w:sectPr>
          <w:pgSz w:w="11900" w:h="16838" w:orient="portrait"/>
          <w:cols w:equalWidth="0" w:num="1">
            <w:col w:w="11240"/>
          </w:cols>
          <w:pgMar w:left="320" w:top="337" w:right="339" w:bottom="0" w:gutter="0" w:footer="0" w:header="0"/>
          <w:type w:val="continuous"/>
        </w:sectPr>
      </w:pP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the Company pays dividends on its shares of common stock, the holders of the Series A Stock will be entitled to receive dividends on shares of Series A Stock equal, on an as-if-converted basis, to and in the same form as paid on the common stock. No other dividends will be paid on the shares of Series A Stock.</w:t>
      </w:r>
    </w:p>
    <w:p>
      <w:pPr>
        <w:spacing w:after="0" w:line="176" w:lineRule="exact"/>
        <w:rPr>
          <w:sz w:val="20"/>
          <w:szCs w:val="20"/>
          <w:color w:val="auto"/>
        </w:rPr>
      </w:pPr>
    </w:p>
    <w:p>
      <w:pPr>
        <w:sectPr>
          <w:pgSz w:w="11900" w:h="16838" w:orient="portrait"/>
          <w:cols w:equalWidth="0" w:num="2">
            <w:col w:w="740" w:space="580"/>
            <w:col w:w="9920"/>
          </w:cols>
          <w:pgMar w:left="320" w:top="337" w:right="339" w:bottom="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Liquidation</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Times New Roman" w:cs="Times New Roman" w:eastAsia="Times New Roman" w:hAnsi="Times New Roman"/>
          <w:sz w:val="18"/>
          <w:szCs w:val="18"/>
          <w:color w:val="auto"/>
        </w:rPr>
        <w:t>Upon any liquidation, dissolution or winding up of the Company after payment or provision for payment of debts and other liabilities of the Company, the holders of Series A Stock shall be entitled to be paid out of the assets of the Company available for distribution to its stockholders an amount equal to the amount that a holder of common stock would receive if the Series A Stock were fully converted to common stock, which amounts will be paid pari passu with all holders of common stock.</w:t>
      </w:r>
    </w:p>
    <w:p>
      <w:pPr>
        <w:spacing w:after="0" w:line="180" w:lineRule="exact"/>
        <w:rPr>
          <w:sz w:val="20"/>
          <w:szCs w:val="20"/>
          <w:color w:val="auto"/>
        </w:rPr>
      </w:pPr>
    </w:p>
    <w:p>
      <w:pPr>
        <w:sectPr>
          <w:pgSz w:w="11900" w:h="16838" w:orient="portrait"/>
          <w:cols w:equalWidth="0" w:num="2">
            <w:col w:w="840" w:space="480"/>
            <w:col w:w="9920"/>
          </w:cols>
          <w:pgMar w:left="320" w:top="337" w:right="339" w:bottom="0" w:gutter="0" w:footer="0" w:header="0"/>
          <w:type w:val="continuous"/>
        </w:sectPr>
      </w:pPr>
    </w:p>
    <w:p>
      <w:pPr>
        <w:spacing w:after="0"/>
        <w:rPr>
          <w:sz w:val="20"/>
          <w:szCs w:val="20"/>
          <w:color w:val="auto"/>
        </w:rPr>
      </w:pPr>
      <w:r>
        <w:rPr>
          <w:rFonts w:ascii="Times New Roman" w:cs="Times New Roman" w:eastAsia="Times New Roman" w:hAnsi="Times New Roman"/>
          <w:sz w:val="17"/>
          <w:szCs w:val="17"/>
          <w:color w:val="auto"/>
        </w:rPr>
        <w:t>Voting rights</w:t>
      </w:r>
    </w:p>
    <w:p>
      <w:pPr>
        <w:spacing w:after="0" w:line="20" w:lineRule="exact"/>
        <w:rPr>
          <w:sz w:val="20"/>
          <w:szCs w:val="20"/>
          <w:color w:val="auto"/>
        </w:rPr>
      </w:pPr>
      <w:r>
        <w:rPr>
          <w:sz w:val="20"/>
          <w:szCs w:val="20"/>
          <w:color w:val="auto"/>
        </w:rPr>
        <w:br w:type="column"/>
      </w:r>
    </w:p>
    <w:p>
      <w:pPr>
        <w:jc w:val="both"/>
        <w:spacing w:after="0" w:line="266" w:lineRule="auto"/>
        <w:rPr>
          <w:sz w:val="20"/>
          <w:szCs w:val="20"/>
          <w:color w:val="auto"/>
        </w:rPr>
      </w:pPr>
      <w:r>
        <w:rPr>
          <w:rFonts w:ascii="Times New Roman" w:cs="Times New Roman" w:eastAsia="Times New Roman" w:hAnsi="Times New Roman"/>
          <w:sz w:val="18"/>
          <w:szCs w:val="18"/>
          <w:color w:val="auto"/>
        </w:rPr>
        <w:t>Shares of Series A Stock will generally have no voting rights, except as required by law and except that the consent of holders of a majority of the then outstanding Series A Stock will be required to amend the terms of the Series A Stock or to take other action that adversely affects the rights of the holders of Series A Stock.</w:t>
      </w:r>
    </w:p>
    <w:p>
      <w:pPr>
        <w:spacing w:after="0" w:line="200" w:lineRule="exact"/>
        <w:rPr>
          <w:sz w:val="20"/>
          <w:szCs w:val="20"/>
          <w:color w:val="auto"/>
        </w:rPr>
      </w:pPr>
    </w:p>
    <w:p>
      <w:pPr>
        <w:sectPr>
          <w:pgSz w:w="11900" w:h="16838" w:orient="portrait"/>
          <w:cols w:equalWidth="0" w:num="2">
            <w:col w:w="940" w:space="380"/>
            <w:col w:w="9920"/>
          </w:cols>
          <w:pgMar w:left="320" w:top="337" w:right="339" w:bottom="0" w:gutter="0" w:footer="0" w:header="0"/>
          <w:type w:val="continuous"/>
        </w:sectPr>
      </w:pP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there were 210 shares of Series A Stock outstanding.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and Pre-Funded Warrants</w:t>
      </w:r>
    </w:p>
    <w:p>
      <w:pPr>
        <w:spacing w:after="0" w:line="229"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The Company’s Certificate of Incorporation authorizes it to issue 400,000,000 shares of $0.0001 par value common stock. As of March 31, 2022, and December 31, 2021, there were 25,206,914 shares of common stock issued and outstanding. As of March 31, 2022, there were 10,033,274 pre-funded warrants outstanding.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2021 Private Placement (the “July 2021 Offering”)</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July 6, 2021, the Company entered into a securities purchase agreement with an institutional investor pursuant to which the Company agreed to sell and issue to the investor 4,773,269 Units in a private placement at a purchase price of $2.095 per unit. Each Unit consisted of (i) one unregistered pre-funded warrant to purchase one share of common stock and (ii) one unregistered warrant to purchase one share of common stock (together with the pre-funded warrants, the “2021 Warrants”). In the aggregate, 9,546,538 shares of the Company’s common stock are underlying the 2021 Warrants. The net proceeds from the private placement, after deducting placement agent fees and other direct offering expenses, were approximately $9.2 million. The fair value allocated to the pre-funded warrants and warrants was $5.5 million and $4.5 million, respectively.</w:t>
      </w:r>
    </w:p>
    <w:p>
      <w:pPr>
        <w:spacing w:after="0" w:line="18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7"/>
          <w:szCs w:val="17"/>
          <w:color w:val="auto"/>
        </w:rPr>
        <w:t>Also, on July 6, 2021 and in connection with the July 2021 Offering, the Company entered into a registration rights agreement (the “July 2021 Registration Rights Agreement”) with the investor, pursuant to which the Company agreed to register for resale the shares of common stock issuable upon exercise of the 2021 Warrants within 120 days following the effective date of the July 2021 Registration Rights Agreement. Pursuant to the July 2021 Registration Rights Agreement, on August 20, 2021, the Company filed a resale registration statement on Form S-3, which went effective on September 1, 2021.</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2020 Registered Direct Offering and Private Placement (the “July 2020 Offering”)</w:t>
      </w:r>
    </w:p>
    <w:p>
      <w:pPr>
        <w:spacing w:after="0" w:line="227"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On July 6, 2020, the Company completed a registered direct offering with an investor for the issuance and sale of 2,523,611 shares of its common stock at a purchase price of $1.0278 per share and pre-funded warrants to purchase up to 652,313 shares of its common stock, at a purchase price of $1.0277 per pre-</w:t>
      </w:r>
    </w:p>
    <w:p>
      <w:pPr>
        <w:sectPr>
          <w:pgSz w:w="11900" w:h="16838" w:orient="portrait"/>
          <w:cols w:equalWidth="0" w:num="1">
            <w:col w:w="11240"/>
          </w:cols>
          <w:pgMar w:left="320" w:top="337" w:right="339" w:bottom="0" w:gutter="0" w:footer="0" w:header="0"/>
          <w:type w:val="continuous"/>
        </w:sectPr>
      </w:pPr>
    </w:p>
    <w:bookmarkStart w:id="10" w:name="page11"/>
    <w:bookmarkEnd w:id="10"/>
    <w:p>
      <w:pPr>
        <w:ind w:right="40"/>
        <w:spacing w:after="0" w:line="255" w:lineRule="auto"/>
        <w:rPr>
          <w:sz w:val="20"/>
          <w:szCs w:val="20"/>
          <w:color w:val="auto"/>
        </w:rPr>
      </w:pPr>
      <w:r>
        <w:rPr>
          <w:rFonts w:ascii="Times New Roman" w:cs="Times New Roman" w:eastAsia="Times New Roman" w:hAnsi="Times New Roman"/>
          <w:sz w:val="18"/>
          <w:szCs w:val="18"/>
          <w:color w:val="auto"/>
        </w:rPr>
        <w:t>funded warrant (which represents the per share offering price for the common stock less $0.0001, the exercise price of each pre-funded warrant). The Company issued in a concurrent private placement unregistered pre-funded warrants to purchase up to 4,607,692 shares of common stock at the same purchase price as the registered pre-funded warrants, and unregistered common stock warrants to purchase up to 7,783,616 shares of common stock for aggregate gross proceeds of approximately $8.0 million, priced at-the-market under Nasdaq rules. The unregistered warrants have an exercise price of $0.903 per share and exercise period commencing immediately upon the issuance date and a term of five and one-half years. The net proceeds from the offerings, after deducting placement agent fees and other direct offering expenses were approximately $6.5 million. The fair value allocated to the common stock, pre-funded warrants and warrants was $1.5 million, $3.0 million and $3.5 million, respectively.</w:t>
      </w:r>
    </w:p>
    <w:p>
      <w:pPr>
        <w:spacing w:after="0" w:line="18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Also, on July 6, 2020 and in connection with the concurrent private placement, the Company entered into a registration rights agreement (the “July 2020 Registration Rights Agreement”) with the investor, pursuant to which the Company agreed to register for resale the shares of common stock issuable upon exercise of the unregistered pre-funded warrants and the unregistered warrants within 120 days following the date of the Registration Rights Agreement. Pursuant to the Registration Rights Agreement, on August 20, 2020, the Company filed a resale registration statement on Form S-3, which went effective on September 30, 2020.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2020 Registered Direct Offering and Private Placement (the “March 2020 Offering”)</w:t>
      </w:r>
    </w:p>
    <w:p>
      <w:pPr>
        <w:spacing w:after="0" w:line="22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On March 13, 2020, the Company completed a registered direct offering with an investor for the issuance and sale of 750,000 shares of its common stock at a purchase price of $1.1651 per share and pre-funded warrants to purchase up to 1,610,313 shares of its common stock, at a purchase price of $1.1650 per pre-funded warrant (which represents the per share offering price for the common stock less $0.0001, the exercise price of each pre-funded warrant), for gross proceeds of approximately $2.75 million, priced at-the-market under Nasdaq rules. Additionally, in a concurrent private placement, the Company issued to the investor unregistered warrants to purchase up to 2,360,313 shares of its common stock. The unregistered warrants have an exercise price of $1.04 per share and exercise period commencing immediately upon the issuance date and a term of five and one-half years. The net proceeds from the offerings, after deducting placement agent fees and other direct offering expenses were approximately $2.1 million. The fair value allocated to the common stock, pre-funded warrants and warrants was $0.5 million, $1.1 million and $1.1 million, respectively.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the Company has 20,928,767 warrants outstanding. There was no warrant activity for the three months ended March 31, 2022.</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2021 Warrants</w:t>
      </w:r>
    </w:p>
    <w:p>
      <w:pPr>
        <w:spacing w:after="0" w:line="22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described above, as a part of the July 2021 Offering, the Company issued unregistered warrants to purchase 4,773,269 shares of its common stock at an exercise price of $1.97 per share and contractual term of five and one-half years. The unregistered warrants were offered in a private placement under Section 4(a)(2) of the Securities Act of 1933, as amended (the “Securities Act”) and Regulation D promulgated thereunder. In accordance with ASC 480, these warrants are classified as equity and their relative fair value of approximately $4.5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July 2020 Warrants</w:t>
      </w:r>
    </w:p>
    <w:p>
      <w:pPr>
        <w:spacing w:after="0" w:line="22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described above, as a part of the July 2020 offering, the Company issued unregistered warrants to purchase 7,783,616 shares of its common stock at an exercise price of $0.903 per share and contractual term of five and one-half years. The unregistered warrants were offered in a private placement under Section 4(a)(2) of the Securities Act, and Regulation D promulgated thereunder. In accordance with ASC 815, Derivatives and Hedging, these warrants are classified as equity and their relative fair value of approximately $3.5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2020 Warrants</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As described above, as part of the March 2020 Offering, the Company issued unregistered warrants to purchase 2,360,313 shares of its common stock at an exercise price of $1.04 per share and contractual term of five and one-half years. The unregistered warrants were offered in a private placement under Section 4(a)(2) of the Securities Act, and Regulation D promulgated thereunder. In accordance with ASC 815, these warrants are classified as equity and their relative fair value of approximately $1.1 million was recognized as additional paid in capital. The estimated fair value is determined using the Black-Scholes Option Pricing Model which is based on the value of the underlying common stock at the valuation measurement date, the remaining contractual term of the warrants, risk-free interest rates, expected dividends and expected volatility of the price of the underlying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Warrants Issued for Services</w:t>
      </w:r>
    </w:p>
    <w:p>
      <w:pPr>
        <w:spacing w:after="0" w:line="22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connection with the July 2021 Offering described above, the Company issued designees of the placement agent warrants to purchase 357,995 shares of common stock at an exercise price of $2.46 and a contractual term of five years. In accordance with ASC 815, these warrants are classified as equity and its estimated fair value of $558,472 was recognized as additional paid in capital. The estimated fair value is determined using the Black-Scholes Option Pricing Model which is based on the value of the underlying common stock at the valuation measurement date, the remaining contractual term of the warrant, risk-free interest rates, expected dividends and expected volatility of the price of the underlying common stock.</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ectPr>
          <w:pgSz w:w="11900" w:h="16838" w:orient="portrait"/>
          <w:cols w:equalWidth="0" w:num="1">
            <w:col w:w="11240"/>
          </w:cols>
          <w:pgMar w:left="320" w:top="121" w:right="339" w:bottom="0" w:gutter="0" w:footer="0" w:header="0"/>
        </w:sectPr>
      </w:pPr>
    </w:p>
    <w:bookmarkStart w:id="11" w:name="page12"/>
    <w:bookmarkEnd w:id="11"/>
    <w:p>
      <w:pPr>
        <w:ind w:right="60"/>
        <w:spacing w:after="0" w:line="273" w:lineRule="auto"/>
        <w:rPr>
          <w:sz w:val="20"/>
          <w:szCs w:val="20"/>
          <w:color w:val="auto"/>
        </w:rPr>
      </w:pPr>
      <w:r>
        <w:rPr>
          <w:rFonts w:ascii="Times New Roman" w:cs="Times New Roman" w:eastAsia="Times New Roman" w:hAnsi="Times New Roman"/>
          <w:sz w:val="17"/>
          <w:szCs w:val="17"/>
          <w:color w:val="auto"/>
        </w:rPr>
        <w:t>In connection with the July 2020 Offering described above, the Company issued designees of the placement agent warrants to purchase 583,771 shares of common stock at an exercise price of $1.2848 and a contractual term of five years. In accordance with ASC 815, these warrants are classified as equity and its estimated fair value of $399,445 was recognized as additional paid in capital. Additionally, the Company issued to its previous underwriter a warrant to purchase 311,345 shares of common stock at an exercise price of $1.2848 per share and contractual term of five years. In accordance with ASC 815, this warrant is classified as equity and its estimated fair value of $213,038 was recognized as additional paid in capital. The estimated fair value is determined using the Black-Scholes Option Pricing Model which is based on the value of the underlying common stock at the valuation measurement date, the remaining contractual term of the warrant, risk-free interest rates, expected dividends and expected volatility of the price of the underlying common stock.</w:t>
      </w:r>
    </w:p>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connection with the March 2020 Offering described above, the Company issued designees of the placement agent warrants to purchase 177,023 shares of common stock at an exercise price of $1.4564 and a contractual term of five years. In accordance with ASC 815, these warrants are classified as equity and its estimated fair value of $66,201 was recognized as additional paid in capital. Additionally, the Company issued to its previous underwriter a warrant to purchase 94,413 shares of common stock at an exercise price of $1.4564 per share and contractual term of five years. In accordance with ASC 815, this warrant is classified as equity and its estimated fair value of $35,308 was recognized as additional paid in capital. The estimated fair value is determined using the Black-Scholes Option Pricing Model which is based on the value of the underlying common stock at the valuation measurement date, the remaining contractual term of the warrant, risk-free interest rates, expected dividends and expected volatility of the price of the underlying common stock.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Stock Incentive Plan, as Amended</w:t>
      </w:r>
    </w:p>
    <w:p>
      <w:pPr>
        <w:spacing w:after="0" w:line="22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In June 2016, the Company adopted the 2016 Stock Incentive Plan (the “2016 Plan”). Under the 2016 Plan, with the approval of the Board’s Compensation Committee, the Company may grant stock options, stock appreciation rights, restricted stock, restricted stock units, performance shares, performance units, cash-based awards or other stock-based awards. On June 16, 2016, the Company’s stockholders approved the 2016 Plan and authorized for issuance under the 2016 Plan a total of 150,000 shares of common stock. On June 13, 2019, the Company’s stockholders approved an amendment to the 2016 Plan which increased the number of shares of common stock authorized for issuance under the 2016 Plan to a total of 750,000 shares, up from 150,000 previously authorized.</w:t>
      </w:r>
    </w:p>
    <w:p>
      <w:pPr>
        <w:spacing w:after="0" w:line="187"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On June 10, 2021, the Company’s stockholders approved an amendment to the 2016 Plan which increased the number of shares of common stock authorized for issuance under the 2016 Plan to a total of 1.5 million shares, up from 750,000 previously authorized.</w:t>
      </w:r>
    </w:p>
    <w:p>
      <w:pPr>
        <w:spacing w:after="0" w:line="162"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As of March 31, 2022, the Company has 819,750 shares available for under the 2016 Plan. There was no stock activity for the three months ended March 31,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2016 Plan Stock Options</w:t>
      </w:r>
    </w:p>
    <w:p>
      <w:pPr>
        <w:spacing w:after="0" w:line="227"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Stock options granted under the 2016 Plan may be either incentive stock options (“ISOs”), or nonqualified stock options (“NSOs”). ISOs may be granted only to employees. NSOs may be granted to employees, consultants and directors. Stock options under the 2016 Plan may be granted with a term of up to ten years and at prices no less than fair market value at the time of grant. Stock options granted generally vest over three to four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the Company has 663,250 options outstanding. There was no option activity for the three months ended March 31, 2022.</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pacing w:after="0" w:line="162"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The Company recorded compensation expense for stock option grants of $36,346 and $90,319 for the three months ended March 31, 2022 and 2021, respectively.</w:t>
      </w:r>
    </w:p>
    <w:p>
      <w:pPr>
        <w:spacing w:after="0" w:line="162"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As of March 31, 2022, there were unrecognized compensation costs of approximately $126,000 related to non-vested stock option awards under the 2016 Plan that will be recognized on a straight-line basis over the weighted average remaining vesting period of 1.02 years.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1999 Stock Plan, as Amended and Restated</w:t>
      </w:r>
    </w:p>
    <w:p>
      <w:pPr>
        <w:spacing w:after="0" w:line="22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October 2000, the Company adopted the 1999 Stock Plan, as amended and restated on June 17, 2008 (the “1999 Plan”). Under the 1999 Plan, with the approval of the Compensation Committee of the Board of Directors, the Company could grant stock options, restricted stock, stock appreciation rights and new shares of common stock upon exercise of stock options. On March 13, 2014, the Company’s stockholders approved an amendment to the 1999 Plan which increased the number of shares of common stock authorized for issuance under the 1999 Plan to a total of 200,000 shares, up from 15,000 previously authorized. On September 15, 2015, the Company’s stockholders approved an additional amendment to the 1999 Plan which increased the number of shares of common stock authorized for issuance under the 1999 Plan to a total of 250,000 shares, up from 200,000 previously authorized. The 1999 Plan expired on June 17, 2018 and no new grants may be made under that plan after that date. However, unexpired awards granted under the 1999 Plan remain outstanding and subject to the terms of the 1999 Plan.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1999 Plan Stock Options</w:t>
      </w:r>
    </w:p>
    <w:p>
      <w:pPr>
        <w:spacing w:after="0" w:line="22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Stock options granted under the 1999 Plan may be ISOs or NSOs. ISOs could be granted only to employees. NSOs could be granted to employees, consultants and directors. Stock options under the 1999 Plan could be granted with a term of up to ten years and at prices no less than fair market value for ISOs and no less than 85% of the fair market value for NSOs. Stock options granted generally vest over one to three years.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the Company has 36,317 options outstanding. There was no option activity for the three months ended March 31, 2022.</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Company chose the “straight-line” attribution method for allocating compensation costs of each stock option over the requisite service period using the Black-Scholes Option Pricing Model to calculate the grant date fair value.</w:t>
      </w:r>
    </w:p>
    <w:p>
      <w:pPr>
        <w:sectPr>
          <w:pgSz w:w="11900" w:h="16838" w:orient="portrait"/>
          <w:cols w:equalWidth="0" w:num="1">
            <w:col w:w="11240"/>
          </w:cols>
          <w:pgMar w:left="320" w:top="121" w:right="339" w:bottom="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Company recorded compensation expense for stock option grants of $0 and $1,290 for the three months ended March 31, 2022 and 2021,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2021, there were no unrecognized compensation costs related to non-vested stock option awards under the 1999 Plan.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Inducement Stock Options</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granted two employment inducement stock option awards, one for 100,000 shares of common stock and the other for 250,000 shares of common stock, to its new CEO on July 6, 2021.</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employment inducement stock option for 100,000 shares of common stock was awarded in accordance with the employment inducement award exemption provided by Nasdaq listing rule 5635(c)(4) and was therefore not awarded under the Company’s stockholder approved equity plan. The option award will vest as follows: 50% upon initiation of a Phase 3 trial for levosimendan by June 30, 2022; and 50% upon initiation of a Phase 3 trial for imatinib by June 30, 2022. The options have a 10-year term and an exercise price of $1.97 per share, the July 6, 2021 closing price of our common stock. As of March 31, 2022, none of the vesting milestones have been achieved. The estimated fair value of this inducement stock option award was $178,291 using a Black-Scholes option pricing model based on market prices and the following assumptions at the date of inducement option grant: risk-free interest rate of 1.37%, dividend yield of 0%, volatility factor for our common stock of 103.50% and an expected life of 10 years.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employment inducement stock option award for 250,000 shares of common stock also was awarded in accordance with the employment inducement award exemption provided by Nasdaq listing rule 5635(c)(4) and was therefore not awarded under the Company’s stockholder approved equity plan. The option award will vest as follows: 25% on the one-year anniversary of the CEO’s employment start date and an additional 25% on each of the following three anniversaries of the CEO’s employment start date, subject to continued employment. The options have a 10-year term and an exercise price of $1.97 per share, the July 6, 2021 closing price of our common stock. The estimated fair value of this inducement stock option award was $403,180 using a Black-Scholes option pricing model based on market prices and the following assumptions at the date of inducement option grant: risk-free interest rate of 1.13%, dividend yield of 0%, volatility factor for our common stock of 99.36% and an expected life of 7 years.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granted an employment inducement stock option award for 250,000 shares of common stock to our chief medical officer on January 15, 2021. This employment inducement stock option was awarded in accordance with the employment inducement award exemption provided by Nasdaq listing rule 5635(c)(4) and was therefore not awarded under the Company’s stockholder approved equity plan. The option award will vest as follows: 25% upon initiation of a Phase 3 trial; 25% upon database lock; 25% upon acceptance for review of an investigational NDA; and 25% upon approval. The options have a 10-year term and an exercise price of $1.78 per share, the January 15, 2021 closing price of our common stock. As of March 31, 2022, none of the remaining vesting milestones have been achieved. The estimated fair value of the inducement stock option award granted was $402,789 using a Black-Scholes option pricing model based on market prices and the following assumptions at the date of inducement option grant: risk-free interest rate of 1.11%, dividend yield of 0%, volatility factor for our common stock of 103.94% and an expected life of 10 years.</w:t>
      </w:r>
    </w:p>
    <w:p>
      <w:pPr>
        <w:spacing w:after="0" w:line="192" w:lineRule="exact"/>
        <w:rPr>
          <w:sz w:val="20"/>
          <w:szCs w:val="20"/>
          <w:color w:val="auto"/>
        </w:rPr>
      </w:pPr>
    </w:p>
    <w:p>
      <w:pPr>
        <w:ind w:right="1000"/>
        <w:spacing w:after="0" w:line="282" w:lineRule="auto"/>
        <w:rPr>
          <w:sz w:val="20"/>
          <w:szCs w:val="20"/>
          <w:color w:val="auto"/>
        </w:rPr>
      </w:pPr>
      <w:r>
        <w:rPr>
          <w:rFonts w:ascii="Times New Roman" w:cs="Times New Roman" w:eastAsia="Times New Roman" w:hAnsi="Times New Roman"/>
          <w:sz w:val="18"/>
          <w:szCs w:val="18"/>
          <w:color w:val="auto"/>
        </w:rPr>
        <w:t>Inducement stock option compensation expense totaled $46,723 for the three months ended March 31, 2022. As of March 31, 2022, there was approximately $726,000 of remaining unrecognized compensation expense related to these inducement stock options.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SUBSEQUENT EVENTS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unaudited condensed consolidated financial statements and notes thereto included in Part I, Item 1 of this Quarterly Report on Form 10-Q and with the audited condensed consolidated financial statements and related notes thereto included as part of our Annual Report on Form 10-K for the year ended December 31, 2021. All references in this Quarterly Report to “Tenax Therapeutics,” “we,” “our” and “us” means Tenax Therapeutics, Inc.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Section 27A of the Securities Act of 1933, as amended, or the Securities Act, and Section 21E of the Securities Exchange Act of 1934, as amended, or the Exchange Act, which are subject to the “safe harbor” created by those sections. Forward-looking statements are based on our management’s beliefs and assumptions and on information currently available to them. In some cases you can identify forward-looking statements by words such as “might,” “may,” “will,” “should,” “could,” “would,” “expects,” “plans,” “anticipates,” “believes,” “estimates,” “projects,” “predicts,” “potential” and similar expressions intended to identify forward-looking statements. These statements reflect our current view with respect to future events and are subject to risks, uncertainties and assumptions related to various factors that could cause actual results and the timing of events to differ materially from future results expressed or implied by such forward-looking statements. Factors that could cause or contribute to such differences include, but are not limited to, those discussed in the section titled “Risk Factors” included in our most recent Annual report on Form 10-K filed with the SEC. Furthermore, such forward-looking statements speak only as of this Quarterly Report on Form 10-Q. Except as required by law, we undertake no obligation to update any forward-looking statements to reflect events or circumstances after the date of such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ectPr>
          <w:pgSz w:w="11900" w:h="16838" w:orient="portrait"/>
          <w:cols w:equalWidth="0" w:num="1">
            <w:col w:w="11240"/>
          </w:cols>
          <w:pgMar w:left="320" w:top="337" w:right="339" w:bottom="181" w:gutter="0" w:footer="0" w:header="0"/>
        </w:sectPr>
      </w:pPr>
    </w:p>
    <w:bookmarkStart w:id="13" w:name="page14"/>
    <w:bookmarkEnd w:id="13"/>
    <w:p>
      <w:pPr>
        <w:jc w:val="both"/>
        <w:ind w:right="500"/>
        <w:spacing w:after="0" w:line="289" w:lineRule="auto"/>
        <w:rPr>
          <w:sz w:val="20"/>
          <w:szCs w:val="20"/>
          <w:color w:val="auto"/>
        </w:rPr>
      </w:pPr>
      <w:r>
        <w:rPr>
          <w:rFonts w:ascii="Times New Roman" w:cs="Times New Roman" w:eastAsia="Times New Roman" w:hAnsi="Times New Roman"/>
          <w:sz w:val="17"/>
          <w:szCs w:val="17"/>
          <w:color w:val="auto"/>
        </w:rPr>
        <w:t>Tenax Therapeutics was originally formed as a New Jersey corporation in 1967 under the name Rudmer, David &amp; Associates, Inc., and subsequently changed its name to Synthetic Blood International, Inc. Effective June 30, 2008, we changed the domiciliary state of the corporation to Delaware and changed the Company name to Oxygen Biotherapeutics, Inc. On September 19, 2014, we changed the Company name to Tenax Therapeutics, Inc.</w:t>
      </w:r>
    </w:p>
    <w:p>
      <w:pPr>
        <w:spacing w:after="0" w:line="158"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On November 13, 2013, we acquired a license granting Life Newco, our wholly-owned subsidiary, an exclusive, sublicensable right to develop and commercialize pharmaceutical products containing levosimendan, 2.5 mg/ml concentrate for solution for infusion / 5ml vial in the United States and Canada. On October 9, 2020 and January 25, 2022, we entered into amendments to the license to include two product dose forms containing levosimendan, in capsule and solid dosage form, and a subcutaneously administered product containing levosimendan, subject to specified limitations.</w:t>
      </w:r>
    </w:p>
    <w:p>
      <w:pPr>
        <w:spacing w:after="0" w:line="180"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January 15, 2021, we acquired 100% of the equity of PHPrecisionMed Inc., a Delaware corporation, or PHPM, with PHPM surviving as our wholly-owned subsidiary. As a result of the merger, we plan to develop and commercialize pharmaceutical products containing imatinib for the treatment of pulmonary arterial hypertension, or PAH.</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Our principal business objective is to identify, develop, and commercialize late-stage pharmaceutical therapeutic products for serious cardiovascular and pulmonary diseases with high unmet medical need. The key elements of our business strategy are outlined below.</w:t>
      </w:r>
    </w:p>
    <w:p>
      <w:pPr>
        <w:spacing w:after="0" w:line="160" w:lineRule="exact"/>
        <w:rPr>
          <w:sz w:val="20"/>
          <w:szCs w:val="20"/>
          <w:color w:val="auto"/>
        </w:rPr>
      </w:pPr>
    </w:p>
    <w:p>
      <w:pPr>
        <w:ind w:left="900" w:right="140" w:hanging="447"/>
        <w:spacing w:after="0" w:line="284" w:lineRule="auto"/>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Efficiently conduct clinical development to establish clinical proof of principle in new indications, refine formulation, and commence Phase 3 testing of our current product candidates.</w:t>
      </w:r>
    </w:p>
    <w:p>
      <w:pPr>
        <w:spacing w:after="0" w:line="160" w:lineRule="exact"/>
        <w:rPr>
          <w:rFonts w:ascii="Times New Roman" w:cs="Times New Roman" w:eastAsia="Times New Roman" w:hAnsi="Times New Roman"/>
          <w:sz w:val="18"/>
          <w:szCs w:val="18"/>
          <w:color w:val="auto"/>
        </w:rPr>
      </w:pPr>
    </w:p>
    <w:p>
      <w:pPr>
        <w:ind w:left="900" w:right="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Levosimendan and imatinib have been approved and prescribed globally for more than 20 years, but we believe their mechanisms of action have not been fully exploited, despite promising evidence they may significantly improve the lives of patients with pulmonary hypertension. We are conducting clinical development with the intent to establish proof of beneficial activity in cardiopulmonary diseases in which these therapeutics would be expected to have benefit for patients with diseases for which either no pharmaceutical therapies are approved at all, or in the case of PAH, where numerous expensive therapies generally offer a modest reduction of symptoms. Our focus is primarily on designing and executing formulation improvements, protecting these innovations with patents and other forms of exclusivity, and employing innovative clinical trial science to establish a robust foundation for subsequent development, product approval, and commercialization.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5" w:lineRule="exact"/>
        <w:rPr>
          <w:sz w:val="20"/>
          <w:szCs w:val="20"/>
          <w:color w:val="auto"/>
        </w:rPr>
      </w:pPr>
    </w:p>
    <w:p>
      <w:pPr>
        <w:ind w:left="900" w:right="240" w:hanging="447"/>
        <w:spacing w:after="0" w:line="284" w:lineRule="auto"/>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Efficiently explore new high-potential therapeutic applications, in particular where expedited regulatory pathways are available, leveraging third-party research collaborations and our results from related areas</w:t>
      </w:r>
      <w:r>
        <w:rPr>
          <w:rFonts w:ascii="Times New Roman" w:cs="Times New Roman" w:eastAsia="Times New Roman" w:hAnsi="Times New Roman"/>
          <w:sz w:val="18"/>
          <w:szCs w:val="18"/>
          <w:color w:val="auto"/>
        </w:rPr>
        <w:t>.</w:t>
      </w:r>
    </w:p>
    <w:p>
      <w:pPr>
        <w:spacing w:after="0" w:line="160" w:lineRule="exact"/>
        <w:rPr>
          <w:rFonts w:ascii="Times New Roman" w:cs="Times New Roman" w:eastAsia="Times New Roman" w:hAnsi="Times New Roman"/>
          <w:sz w:val="18"/>
          <w:szCs w:val="18"/>
          <w:color w:val="auto"/>
        </w:rPr>
      </w:pPr>
    </w:p>
    <w:p>
      <w:pPr>
        <w:jc w:val="both"/>
        <w:ind w:left="90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Levosimendan has shown promise in multiple disease areas in its two decades of use following its approval. In order to achieve our objectives of developing these medicines for new groups of patients, we have established collaborative research relationships with investigators from leading research and clinical institutions, and our strategic partners. Additionally, we believe we will be able to leverage clinical safety data and preclinical results from some programs to support accelerated clinical development efforts in other areas, saving substantial development time and resources compared to traditional drug development.</w:t>
      </w:r>
    </w:p>
    <w:p>
      <w:pPr>
        <w:spacing w:after="0" w:line="181"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Continue to expand our intellectual property portfolio</w:t>
      </w:r>
      <w:r>
        <w:rPr>
          <w:rFonts w:ascii="Times New Roman" w:cs="Times New Roman" w:eastAsia="Times New Roman" w:hAnsi="Times New Roman"/>
          <w:sz w:val="18"/>
          <w:szCs w:val="18"/>
          <w:color w:val="auto"/>
        </w:rPr>
        <w:t>.</w:t>
      </w:r>
    </w:p>
    <w:p>
      <w:pPr>
        <w:spacing w:after="0" w:line="227" w:lineRule="exact"/>
        <w:rPr>
          <w:rFonts w:ascii="Times New Roman" w:cs="Times New Roman" w:eastAsia="Times New Roman" w:hAnsi="Times New Roman"/>
          <w:sz w:val="18"/>
          <w:szCs w:val="18"/>
          <w:color w:val="auto"/>
        </w:rPr>
      </w:pPr>
    </w:p>
    <w:p>
      <w:pPr>
        <w:jc w:val="both"/>
        <w:ind w:left="9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intellectual property, and the confidentiality of all our company information, is important to our business and we take significant steps to protect its value. We have ongoing research and development efforts, both through internal activities and through collaborative research activities with others, which aim to develop new intellectual property and enable us to file patent applications that cover new applications of our existing technologies, alone or in combination with existing therapies, as well as other product candidates.</w:t>
      </w:r>
    </w:p>
    <w:p>
      <w:pPr>
        <w:spacing w:after="0" w:line="177" w:lineRule="exact"/>
        <w:rPr>
          <w:rFonts w:ascii="Times New Roman" w:cs="Times New Roman" w:eastAsia="Times New Roman" w:hAnsi="Times New Roman"/>
          <w:sz w:val="18"/>
          <w:szCs w:val="18"/>
          <w:color w:val="auto"/>
        </w:rPr>
      </w:pPr>
    </w:p>
    <w:p>
      <w:pPr>
        <w:ind w:left="900" w:hanging="447"/>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 into licensing or product co-development arrangements.</w:t>
      </w:r>
    </w:p>
    <w:p>
      <w:pPr>
        <w:spacing w:after="0" w:line="227" w:lineRule="exact"/>
        <w:rPr>
          <w:rFonts w:ascii="Times New Roman" w:cs="Times New Roman" w:eastAsia="Times New Roman" w:hAnsi="Times New Roman"/>
          <w:sz w:val="18"/>
          <w:szCs w:val="18"/>
          <w:color w:val="auto"/>
        </w:rPr>
      </w:pPr>
    </w:p>
    <w:p>
      <w:pPr>
        <w:jc w:val="both"/>
        <w:ind w:left="90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our internal development efforts, an important part of our product development strategy is to work with collaborators and partners to accelerate product development, maintain our low development and business operations costs, and broaden our commercialization capabilities globally.</w:t>
      </w:r>
    </w:p>
    <w:p>
      <w:pPr>
        <w:spacing w:after="0" w:line="176"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As we focus on the development of our existing product candidates, we also continue to position ourselves to execute upon licensing and other partnering opportunities. To do so, we will need to continue to maintain our strategic direction, manage and deploy our available cash efficiently and strengthen our collaborative research development and partner relationships.</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Historically, we have financed our operations principally through equity and debt offerings, including private placements and loans from our stockholders. Based on our current operating plan, there is substantial doubt about our ability to continue as going concern. Our ability to continue as a going concern depends on our ability to raise additional capital, through the sale of equity or debt securities and through collaboration and licensing agreements, to support our future operations. If we are unable to secure additional capital, we may be required to curtail our research and development initiatives and take additional measures to reduce costs.</w:t>
      </w:r>
    </w:p>
    <w:p>
      <w:pPr>
        <w:spacing w:after="0" w:line="183"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On January 4, 2022, the Company was issued US Pat. No. 11,213,524, entitled PHARMACEUTICAL COMPOSITIONS FOR SUBCUTANEOUS ADMINISTRATION OF LEVOSIMENDAN, which is directed towards the use of levosimendan via subcutaneous administration for treating a subject having a health condition of any kind, such as heart failure, pulmonary hypertension including PH-HFpEF, chronic kidney disease, stroke, or other health conditions. The patent is expected to expire no earlier than 2039, exclusive of any possible extensions. The Company also has a PCT international application pending, with a U.S. counterpart already under examination, that describes and claims methods of treating the Company’s first intended clinical indication, PH-HFpEF, by providing levosimendan by any route of administration.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COVID-19</w:t>
      </w:r>
    </w:p>
    <w:p>
      <w:pPr>
        <w:sectPr>
          <w:pgSz w:w="11900" w:h="16838" w:orient="portrait"/>
          <w:cols w:equalWidth="0" w:num="1">
            <w:col w:w="11240"/>
          </w:cols>
          <w:pgMar w:left="320" w:top="121" w:right="339" w:bottom="181" w:gutter="0" w:footer="0" w:header="0"/>
        </w:sectPr>
      </w:pPr>
    </w:p>
    <w:bookmarkStart w:id="14" w:name="page15"/>
    <w:bookmarkEnd w:id="14"/>
    <w:p>
      <w:pPr>
        <w:spacing w:after="0" w:line="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continued spread of COVID-19, including variant strains, globally, may affect our operations, including the potential interruption of our clinical trial activities and our supply chain. The continued spread of COVID-19 may result in a period of continued or recurring business disruption in these and other areas impacting our business, including the establishment of contractual relationships with investigators enrolling subjects in our clinical trials, the continuity of care provided by these institutions to the patients we seek to enroll and their ability to support industry-funded research as a means of caring for their patients, supply of these sites with study materials, and the enrollment of subjects and their adherence with study requirements. In addition, there could be a potential effect of COVID-19 to the business at FDA or other health authorities, which could result in delays of reviews and approvals, including with respect to our product candidates.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were $1.5 million for the three months ended March 31, 2022, compared to $1.4 million for the same period in 2021. General and administrative expenses consist primarily of compensation for executive, finance, legal and administrative personnel, including stock-based compensation. Other general and administrative expenses include facility costs not otherwise included in research and development expenses, legal and accounting services, and other professional and consulting services. General and administrative expenses and percentage changes for the three months ended March 31, 2022 and 2021, respectively, are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Increase/</w:t>
            </w:r>
          </w:p>
        </w:tc>
      </w:tr>
      <w:tr>
        <w:trPr>
          <w:trHeight w:val="238"/>
        </w:trPr>
        <w:tc>
          <w:tcPr>
            <w:tcW w:w="5940" w:type="dxa"/>
            <w:vAlign w:val="bottom"/>
          </w:tcPr>
          <w:p>
            <w:pPr>
              <w:spacing w:after="0"/>
              <w:rPr>
                <w:sz w:val="20"/>
                <w:szCs w:val="20"/>
                <w:color w:val="auto"/>
              </w:rPr>
            </w:pPr>
          </w:p>
        </w:tc>
        <w:tc>
          <w:tcPr>
            <w:tcW w:w="26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09"/>
        </w:trPr>
        <w:tc>
          <w:tcPr>
            <w:tcW w:w="59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582,707</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795,510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(212,803)</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721,548</w:t>
            </w:r>
          </w:p>
        </w:tc>
        <w:tc>
          <w:tcPr>
            <w:tcW w:w="2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382,548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339,000</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197,847</w:t>
            </w:r>
          </w:p>
        </w:tc>
        <w:tc>
          <w:tcPr>
            <w:tcW w:w="2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154,645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43,202</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Facilities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38,642</w:t>
            </w:r>
          </w:p>
        </w:tc>
        <w:tc>
          <w:tcPr>
            <w:tcW w:w="22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40,757</w:t>
            </w:r>
          </w:p>
        </w:tc>
        <w:tc>
          <w:tcPr>
            <w:tcW w:w="120" w:type="dxa"/>
            <w:vAlign w:val="bottom"/>
          </w:tcPr>
          <w:p>
            <w:pPr>
              <w:spacing w:after="0"/>
              <w:rPr>
                <w:sz w:val="20"/>
                <w:szCs w:val="20"/>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(2,115)</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r>
    </w:tbl>
    <w:p>
      <w:pPr>
        <w:spacing w:after="0" w:line="1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Personnel costs decreased approximately $213,000 for the three months ended March 31, 2022, compared to the same period in the prior year. The decrease was primarily due to headcount reductions in the current period as compared to the same period in the prior year.</w:t>
      </w:r>
    </w:p>
    <w:p>
      <w:pPr>
        <w:spacing w:after="0" w:line="162"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Legal and professional fees increased approximately $339,000 for the three months ended March 31, 2022, compared to the same period in the prior year. Professional fees consist of the costs incurred for accounting fees, capital market expenses, consulting fees and investor relations services, as well as fees paid to the members of our Board of Directors.</w:t>
      </w:r>
    </w:p>
    <w:p>
      <w:pPr>
        <w:spacing w:after="0" w:line="176"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Legal fees increased approximately $237,000 for the three months ended March 31, 2022, as compared to the same period in the prior year. The increase was primarily due to the legal fees associated with outsourcing the in-house legal function and IP costs that were not incurred during the same period in the prior year.</w:t>
      </w:r>
    </w:p>
    <w:p>
      <w:pPr>
        <w:spacing w:after="0" w:line="176" w:lineRule="exact"/>
        <w:rPr>
          <w:sz w:val="20"/>
          <w:szCs w:val="20"/>
          <w:color w:val="auto"/>
        </w:rPr>
      </w:pPr>
    </w:p>
    <w:p>
      <w:pPr>
        <w:ind w:right="420"/>
        <w:spacing w:after="0" w:line="312" w:lineRule="auto"/>
        <w:rPr>
          <w:sz w:val="20"/>
          <w:szCs w:val="20"/>
          <w:color w:val="auto"/>
        </w:rPr>
      </w:pPr>
      <w:r>
        <w:rPr>
          <w:rFonts w:ascii="Times New Roman" w:cs="Times New Roman" w:eastAsia="Times New Roman" w:hAnsi="Times New Roman"/>
          <w:sz w:val="17"/>
          <w:szCs w:val="17"/>
          <w:color w:val="auto"/>
        </w:rPr>
        <w:t>Professional fees increased approximately $102,000 for the three months ended March 31, 2022, compared to the same period in the prior year. The increase was primarily attributable to increased investor relations, director, consulting and capital market fees offset by a decrease in accounting costs.</w:t>
      </w:r>
    </w:p>
    <w:p>
      <w:pPr>
        <w:spacing w:after="0" w:line="140" w:lineRule="exact"/>
        <w:rPr>
          <w:sz w:val="20"/>
          <w:szCs w:val="20"/>
          <w:color w:val="auto"/>
        </w:rPr>
      </w:pPr>
    </w:p>
    <w:p>
      <w:pPr>
        <w:jc w:val="both"/>
        <w:ind w:right="560"/>
        <w:spacing w:after="0" w:line="289" w:lineRule="auto"/>
        <w:rPr>
          <w:sz w:val="20"/>
          <w:szCs w:val="20"/>
          <w:color w:val="auto"/>
        </w:rPr>
      </w:pPr>
      <w:r>
        <w:rPr>
          <w:rFonts w:ascii="Times New Roman" w:cs="Times New Roman" w:eastAsia="Times New Roman" w:hAnsi="Times New Roman"/>
          <w:sz w:val="17"/>
          <w:szCs w:val="17"/>
          <w:color w:val="auto"/>
        </w:rPr>
        <w:t>Other costs increased approximately $43,000 for the three months ended March 31, 2022, compared to the same period in the prior year. Other costs include expenses incurred for franchise and other taxes, travel, supplies, insurance, depreciation and other miscellaneous charges. The increase was primarily attributable to increased costs for insurance, dues and administrative expenses offset by decreases in franchise and other taxes.</w:t>
      </w:r>
    </w:p>
    <w:p>
      <w:pPr>
        <w:spacing w:after="0" w:line="15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Facilities costs include costs paid for rent and utilities at our corporate headquarters in North Carolina. Facilities costs remained relatively unchanged for the three months ended March 31, 2022 and 2021.</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were $1.2 million for the three months ended March 31, 2022 as compared to $22.4 million for the same period in the prior year. Research and development expenses include, but are not limited to, (i) expenses incurred under agreements with contract research organizations and investigative sites, which conduct our clinical trials and a substantial portion of our pre-clinical studies; (ii) the cost of supplying clinical trial materials; (iii) payments to contract service organizations, as well as consultants; (iv) employee-related expenses, which include salaries and benefits; and</w:t>
      </w:r>
    </w:p>
    <w:p>
      <w:pPr>
        <w:spacing w:after="0" w:line="3" w:lineRule="exact"/>
        <w:rPr>
          <w:sz w:val="20"/>
          <w:szCs w:val="20"/>
          <w:color w:val="auto"/>
        </w:rPr>
      </w:pPr>
    </w:p>
    <w:p>
      <w:pPr>
        <w:ind w:right="160" w:firstLine="8"/>
        <w:spacing w:after="0" w:line="255" w:lineRule="auto"/>
        <w:tabs>
          <w:tab w:leader="none" w:pos="2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depreciation and other allocated expenses, which include direct and allocated expenses for rent and maintenance of facilities and equipment, depreciation of leasehold improvements, equipment, and other supplies. All research and development expenses are expensed as incurred. Research and development expenses and percentage changes for the three months ended March 31, 2022 and 2021, respectively, are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Increase/</w:t>
            </w: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 Increase/</w:t>
            </w:r>
          </w:p>
        </w:tc>
      </w:tr>
      <w:tr>
        <w:trPr>
          <w:trHeight w:val="238"/>
        </w:trPr>
        <w:tc>
          <w:tcPr>
            <w:tcW w:w="5940" w:type="dxa"/>
            <w:vAlign w:val="bottom"/>
          </w:tcPr>
          <w:p>
            <w:pPr>
              <w:spacing w:after="0"/>
              <w:rPr>
                <w:sz w:val="20"/>
                <w:szCs w:val="20"/>
                <w:color w:val="auto"/>
              </w:rPr>
            </w:pPr>
          </w:p>
        </w:tc>
        <w:tc>
          <w:tcPr>
            <w:tcW w:w="26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2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(Decrease)</w:t>
            </w:r>
          </w:p>
        </w:tc>
        <w:tc>
          <w:tcPr>
            <w:tcW w:w="13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(Decrease)</w:t>
            </w:r>
          </w:p>
        </w:tc>
      </w:tr>
      <w:tr>
        <w:trPr>
          <w:trHeight w:val="210"/>
        </w:trPr>
        <w:tc>
          <w:tcPr>
            <w:tcW w:w="594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Clinical and preclinical development</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997,499</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500,178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497,321</w:t>
            </w: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Personnel costs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179,308</w:t>
            </w:r>
          </w:p>
        </w:tc>
        <w:tc>
          <w:tcPr>
            <w:tcW w:w="18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136,242</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43,066</w:t>
            </w: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1,088</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21,739,782</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(21,738,694)</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Clinical and preclinical development costs increased approximately $497,000 for the three months ended March 31, 2022 as compared to the same period in the prior year. Clinical and preclinical development costs consist of expenses associated with our ongoing Phase 2 HELP Open Label Extension Study</w:t>
      </w:r>
    </w:p>
    <w:p>
      <w:pPr>
        <w:sectPr>
          <w:pgSz w:w="11900" w:h="16846" w:orient="portrait"/>
          <w:cols w:equalWidth="0" w:num="1">
            <w:col w:w="11240"/>
          </w:cols>
          <w:pgMar w:left="320" w:top="121" w:right="339" w:bottom="0" w:gutter="0" w:footer="0" w:header="0"/>
        </w:sectPr>
      </w:pPr>
    </w:p>
    <w:bookmarkStart w:id="15" w:name="page16"/>
    <w:bookmarkEnd w:id="15"/>
    <w:p>
      <w:pPr>
        <w:ind w:right="160"/>
        <w:spacing w:after="0" w:line="266" w:lineRule="auto"/>
        <w:rPr>
          <w:sz w:val="20"/>
          <w:szCs w:val="20"/>
          <w:color w:val="auto"/>
        </w:rPr>
      </w:pPr>
      <w:r>
        <w:rPr>
          <w:rFonts w:ascii="Times New Roman" w:cs="Times New Roman" w:eastAsia="Times New Roman" w:hAnsi="Times New Roman"/>
          <w:sz w:val="18"/>
          <w:szCs w:val="18"/>
          <w:color w:val="auto"/>
        </w:rPr>
        <w:t>for levosimendan, costs associated with our imatinib Phase 1 Pharmacokinetics Study, imatinib Phase 3 IMPROVE Study, and development costs associated with the formulation for imatinib. The increase is primarily attributable to costs associated with formulation development, Phase 1 and Phase 3 costs associated with imatinib in the current period that were not incurred in the same period in the prior year.</w:t>
      </w:r>
    </w:p>
    <w:p>
      <w:pPr>
        <w:spacing w:after="0" w:line="176"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Personnel costs increased approximately $43,000 for the three months ended March 31, 2022, as compared to the same period in the prior year, primarily attributable to the addition of our Chief Medical Officer.</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Other costs decreased approximately $21.7 million for the three months ended March 31, 2022, as compared to the same period in the prior year, primarily attributable to the recognition of in-process research and development acquired as part of the merger with PHPM in the prior period. There were no such expenses incurred in the same period in the current year.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29"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Other income and expense include non-operating income and expense items not otherwise recorded in our consolidated statement of comprehensive loss. These items include, but are not limited to, changes in the fair value of financial assets and derivative liabilities, interest income earned and fixed asset disposals. Other expense increased approximately $1,642 for the three months ended March 31, 2022, compared to the same period in the prior year. This increase is due primarily to interest expense in the current period.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Capital Resources and Plan of Operation</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We have incurred losses since our inception and, as of March 31, 2022, we had an accumulated deficit of approximately $281 million. We will continue to incur losses until we generate sufficient revenue to offset our expenses, and we anticipate that we will continue to incur net losses for at least the next several years. We expect to incur additional expenses related to our development and potential commercialization of levosimendan and imatinib for pulmonary hypertension and other potential indications, as well as identifying and developing other potential product candidates, and as a result, we will need to generate significant net product sales, royalty and other revenues to achieve profitability.</w:t>
      </w:r>
    </w:p>
    <w:p>
      <w:pPr>
        <w:spacing w:after="0" w:line="18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process of conducting preclinical studies and clinical trials necessary to obtain approval from the FDA is costly and time consuming. The probability of success for each product candidate and clinical trial may be affected by a variety of factors, including, among other things, the quality of the product candidate’s early clinical data, investment in the program, competition, manufacturing capabilities and commercial viability. As a result of the uncertainties discussed above, uncertainty associated with clinical trial enrollment and risks inherent in the development process, we are unable to determine the duration and completion costs of current or future clinical stages of our product candidates or when, or to what extent, we will generate revenues from the commercialization and sale of any of our product candidates. Development timelines, probability of success and development costs vary widely. We are currently focused on developing our two product candidates, levosimendan and imatinib; however, we will need substantial additional capital in the future in order to complete the development and potential commercialization of levosimendan and imatinib, and to continue with the development of other potential product candidates.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We have financed our operations since September 1990 through the issuance of debt and equity securities and loans from stockholders. We had total current assets of $3,455,671 and $5,689,000 and working capital of $1,479,277 and $4,125,022 as of March 31, 2022 and December 31, 2021, respectively. Our practice is to invest excess cash, where available, in short-term money market investment instruments and high quality corporate and government bonds.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tc>
        <w:tc>
          <w:tcPr>
            <w:tcW w:w="1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w:t>
            </w:r>
          </w:p>
        </w:tc>
        <w:tc>
          <w:tcPr>
            <w:tcW w:w="1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6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18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860" w:type="dxa"/>
            <w:vAlign w:val="bottom"/>
          </w:tcPr>
          <w:p>
            <w:pPr>
              <w:spacing w:after="0"/>
              <w:rPr>
                <w:sz w:val="20"/>
                <w:szCs w:val="20"/>
                <w:color w:val="auto"/>
              </w:rPr>
            </w:pPr>
          </w:p>
        </w:tc>
        <w:tc>
          <w:tcPr>
            <w:tcW w:w="6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180" w:type="dxa"/>
            <w:vAlign w:val="bottom"/>
            <w:gridSpan w:val="5"/>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March 31,</w:t>
            </w:r>
          </w:p>
        </w:tc>
      </w:tr>
      <w:tr>
        <w:trPr>
          <w:trHeight w:val="210"/>
        </w:trPr>
        <w:tc>
          <w:tcPr>
            <w:tcW w:w="86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8"/>
                <w:szCs w:val="18"/>
                <w:color w:val="auto"/>
              </w:rPr>
            </w:pPr>
          </w:p>
        </w:tc>
      </w:tr>
      <w:tr>
        <w:trPr>
          <w:trHeight w:val="209"/>
        </w:trPr>
        <w:tc>
          <w:tcPr>
            <w:tcW w:w="8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2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 (2,937,677)</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(3,221,141)</w:t>
            </w:r>
          </w:p>
        </w:tc>
      </w:tr>
      <w:tr>
        <w:trPr>
          <w:trHeight w:val="216"/>
        </w:trPr>
        <w:tc>
          <w:tcPr>
            <w:tcW w:w="86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(6,323)</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(36,964)</w:t>
            </w:r>
          </w:p>
        </w:tc>
      </w:tr>
      <w:tr>
        <w:trPr>
          <w:trHeight w:val="216"/>
        </w:trPr>
        <w:tc>
          <w:tcPr>
            <w:tcW w:w="86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228,762</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544,651</w:t>
            </w:r>
          </w:p>
        </w:tc>
        <w:tc>
          <w:tcPr>
            <w:tcW w:w="10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Net cash used in operating activities was approximately $2.9 million for the three months ended March 31, 2022 compared to approximately $3.2 million for the three months ended March 31, 2021. The decrease in cash used for operating activities was primarily due to prepaid expense and accounts payable activity in the current period as compared to the prior year.</w:t>
      </w:r>
    </w:p>
    <w:p>
      <w:pPr>
        <w:spacing w:after="0" w:line="174"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color w:val="auto"/>
        </w:rPr>
        <w:t>Net cash used in investing activities</w:t>
      </w:r>
      <w:r>
        <w:rPr>
          <w:rFonts w:ascii="Times New Roman" w:cs="Times New Roman" w:eastAsia="Times New Roman" w:hAnsi="Times New Roman"/>
          <w:sz w:val="18"/>
          <w:szCs w:val="18"/>
          <w:color w:val="auto"/>
        </w:rPr>
        <w:t>. Net cash used in investing activities was approximately $6,000 for the three months ended March 31, 2022,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approximately $37,000 in the three months ended March 31, 2021. The decrease in cash provided by investing activities was primarily due to the purchase of marketable securities in the prior period where no such purchases were made in the current period.</w:t>
      </w:r>
    </w:p>
    <w:p>
      <w:pPr>
        <w:spacing w:after="0" w:line="173"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Net cash provided by financing activities</w:t>
      </w:r>
      <w:r>
        <w:rPr>
          <w:rFonts w:ascii="Times New Roman" w:cs="Times New Roman" w:eastAsia="Times New Roman" w:hAnsi="Times New Roman"/>
          <w:sz w:val="18"/>
          <w:szCs w:val="18"/>
          <w:color w:val="auto"/>
        </w:rPr>
        <w:t>. Net cash provided by financing activities was approximately $229,000 for the three months ended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2022, compared to approximately $545,000 in the three months ended March 31, 2021. The decrease in cash provided by financing activities was primarily due to the proceeds from the exercise of warrants in the prior period.</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Capital and Capital Expenditure Requirements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that include, but are not limited to the following:</w:t>
      </w:r>
    </w:p>
    <w:p>
      <w:pPr>
        <w:spacing w:after="0" w:line="225" w:lineRule="exact"/>
        <w:rPr>
          <w:sz w:val="20"/>
          <w:szCs w:val="20"/>
          <w:color w:val="auto"/>
        </w:rPr>
      </w:pPr>
    </w:p>
    <w:p>
      <w:pPr>
        <w:ind w:left="920" w:hanging="467"/>
        <w:spacing w:after="0"/>
        <w:tabs>
          <w:tab w:leader="none" w:pos="9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and completion of clinical trials for our product candidates and potential product candidates;</w:t>
      </w:r>
    </w:p>
    <w:p>
      <w:pPr>
        <w:sectPr>
          <w:pgSz w:w="11900" w:h="16838" w:orient="portrait"/>
          <w:cols w:equalWidth="0" w:num="1">
            <w:col w:w="11240"/>
          </w:cols>
          <w:pgMar w:left="320" w:top="121" w:right="339" w:bottom="0" w:gutter="0" w:footer="0" w:header="0"/>
        </w:sectPr>
      </w:pPr>
    </w:p>
    <w:bookmarkStart w:id="16" w:name="page17"/>
    <w:bookmarkEnd w:id="16"/>
    <w:p>
      <w:pPr>
        <w:ind w:left="920" w:hanging="467"/>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regulatory approvals and the regulatory approval process;</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that may be caused by the global coronavirus pandemic;</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that may be caused by changing regulatory requirements;</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product candidates that we pursue;</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filing and prosecuting patent applications and enforcing and defending patent claims;</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terms of future collaboration, licensing, consulting or other arrangements that we may enter into;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7" w:lineRule="exact"/>
        <w:rPr>
          <w:sz w:val="20"/>
          <w:szCs w:val="20"/>
          <w:color w:val="auto"/>
        </w:rPr>
      </w:pPr>
    </w:p>
    <w:p>
      <w:pPr>
        <w:ind w:left="920" w:hanging="467"/>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timing of establishing sales, marketing, manufacturing and distribution capabilities;</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procuring clinical and commercial supplies of our product candidates;</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acquire or invest in businesses, products or technologies; and</w:t>
      </w:r>
    </w:p>
    <w:p>
      <w:pPr>
        <w:spacing w:after="0" w:line="225" w:lineRule="exact"/>
        <w:rPr>
          <w:rFonts w:ascii="Times New Roman" w:cs="Times New Roman" w:eastAsia="Times New Roman" w:hAnsi="Times New Roman"/>
          <w:sz w:val="18"/>
          <w:szCs w:val="18"/>
          <w:color w:val="auto"/>
        </w:rPr>
      </w:pPr>
    </w:p>
    <w:p>
      <w:pPr>
        <w:ind w:left="920" w:hanging="467"/>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costs of litigation.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Based on our working capital on March 31, 2022, we believe we have sufficient capital on hand to continue to fund operations through the second quarter of calendar year 2022.</w:t>
      </w:r>
    </w:p>
    <w:p>
      <w:pPr>
        <w:spacing w:after="0" w:line="162"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We will need substantial additional capital beyond the second quarter of calendar year 2022 and in the future in order to complete the regulatory approval and commercialization of imatinib and levosimendan as well as to fund the development and commercialization of other future product candidates. Until we can generate a sufficient amount of product revenue, if ever, we expect to finance future cash needs through public or private equity offerings, debt financings or corporate collaboration and licensing arrangements. Such funding, if needed, may not be available on favorable terms, if at all. In the event we are unable to obtain additional capital, we may delay or reduce the scope of our current research and development programs and other expenses. As a result of our historical operating losses and expected future negative cash flows from operations, we have concluded that there is substantial doubt about our ability to continue as a going concern. Similarly, the report of our independent registered public accounting firm on our December 31, 2021 consolidated financial statements include an explanatory paragraph indicating that there is substantial doubt about our ability to continue as a going concern. Substantial doubt about our ability to continue as a going concern may materially and adversely affect the price per share of our common stock and make it more difficult to obtain financing.</w:t>
      </w:r>
    </w:p>
    <w:p>
      <w:pPr>
        <w:spacing w:after="0" w:line="1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If adequate funds are not available, we may also be required to eliminate one or more of our clinical trials, delaying approval of levosimendan or our commercialization efforts. To the extent that we raise additional funds by issuing equity securities, our stockholders may experience additional significant dilution, and debt financing, if available, may involve restrictive covenants. To the extent that we raise additional funds through collaboration and licensing arrangements, it may be necessary to relinquish some rights to our technologies or our product candidates or grant licenses on terms that may not be favorable to us. We may seek to access the public or private capital markets whenever conditions are favorable, even if we do not have an immediate need for additional capital at that time. We may also consider strategic alternatives, including a sale of our company, merger, other business combination or recapitalization.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p>
    <w:p>
      <w:pPr>
        <w:spacing w:after="0" w:line="22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Our unaudited condensed consolidated financial statements have been prepared in accordance with GAAP. The preparation of these financial statements requires us to make estimates and assumptions that affect the reported amounts of assets and liabilities and the disclosure of contingent assets and liabilities at the date of the financial statements, as well as the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materially from these estimates under different assumptions or conditions. For information regarding our critical accounting policies and estimates, please refer to “Management’s Discussion and Analysis of Financial Condition and Results of Operations—Summary of Critical Accounting Policies” contained in our Annual Report on Form 10-K for the year ended December 31, 2021 and Note 2 to our unaudited condensed consolidated financial statements included in Part I, Item 1 of this Quarterly Report on Form 10-Q.</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Since our inception, we have not engaged in any off-balance sheet arrangements, including the use of structured finance, special purpose entities or variable interest entities.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Smaller reporting companies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ectPr>
          <w:pgSz w:w="11900" w:h="16838" w:orient="portrait"/>
          <w:cols w:equalWidth="0" w:num="1">
            <w:col w:w="11240"/>
          </w:cols>
          <w:pgMar w:left="320" w:top="121" w:right="339" w:bottom="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As required by paragraph (b) of Rules 13a-15 and 15d-15 promulgated under the Exchange Act, under the supervision and with the participation of our management, including our President and Chief Executive Officer and our Interim Chief Financial Officer, we conducted an evaluation as of the end of the period covered by this Quarterly Report on Form 10-Q, of the effectiveness of our disclosure controls and procedures as defined in Exchange Act Rules 13a-15(e) and 15d-15(e).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Based on their evaluation, our President and Chief Executive Officer and Interim Chief Financial Officer concluded that our disclosure controls and procedures were effective as of March 31, 2022, the end of the period covered by this Quarterly Report on Form 10-Q, in that they provide reasonable assurance that the information we are required to disclose in the reports we file or submit under the Exchange Act is recorded, processed, summarized and reported within the time periods required by the SEC and is accumulated and communicated to our management, including our President and Chief Executive Officer and Interim Chief Financial Officer, as appropriate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our most recently completed fiscal quarter that have materially affected, or are reasonably likely to materially affect, our internal control over financial reporting. We routinely review our internal controls over financial reporting and from time to time make changes intended to enhance the effectiveness of our internal control over financial reporting. We will continue to evaluate the effectiveness of our disclosure controls and procedures and internal controls over financial reporting on an ongoing basis and will take action as appropriate.</w:t>
      </w:r>
    </w:p>
    <w:p>
      <w:pPr>
        <w:spacing w:after="0" w:line="183"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During the most recently completed fiscal quarter, management reviewed all work generated in support of the financial statements and corresponding footnotes in order to determine areas which may be susceptible to human error. The review focused on limiting manual inputs into work papers wherever possible and tying inputs to external source documents. In addition, management also enhanced its work paper review to compare figures to prior year amounts or source documents and increased the number of calculations in the work papers that are reviewed and re-performed.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no material pending legal proceedings to which we are a party or to which any of our property is subject.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risks we face have not materially changed from those disclosed in our Annual Report on Form 10-K for the year ended December 31, 2021.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being filed or furnished as part of this Quarterly Report on Form 10-Q and are numbered in accordance with Item 601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Regulation S-K:</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b w:val="1"/>
          <w:bCs w:val="1"/>
          <w:u w:val="single" w:color="auto"/>
          <w:color w:val="auto"/>
        </w:rPr>
        <w:t>Number</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5715</wp:posOffset>
            </wp:positionV>
            <wp:extent cx="657479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574790" cy="8890"/>
                    </a:xfrm>
                    <a:prstGeom prst="rect">
                      <a:avLst/>
                    </a:prstGeom>
                    <a:noFill/>
                  </pic:spPr>
                </pic:pic>
              </a:graphicData>
            </a:graphic>
          </wp:anchor>
        </w:drawing>
      </w:r>
    </w:p>
    <w:p>
      <w:pPr>
        <w:ind w:left="880" w:right="340" w:hanging="876"/>
        <w:spacing w:after="0" w:line="263" w:lineRule="auto"/>
        <w:tabs>
          <w:tab w:leader="none" w:pos="860" w:val="left"/>
        </w:tabs>
        <w:rPr>
          <w:rFonts w:ascii="Times New Roman" w:cs="Times New Roman" w:eastAsia="Times New Roman" w:hAnsi="Times New Roman"/>
          <w:sz w:val="18"/>
          <w:szCs w:val="18"/>
          <w:u w:val="single" w:color="auto"/>
          <w:color w:val="0000EE"/>
        </w:rPr>
      </w:pPr>
      <w:hyperlink r:id="rId42">
        <w:r>
          <w:rPr>
            <w:rFonts w:ascii="Times New Roman" w:cs="Times New Roman" w:eastAsia="Times New Roman" w:hAnsi="Times New Roman"/>
            <w:sz w:val="18"/>
            <w:szCs w:val="18"/>
            <w:u w:val="single" w:color="auto"/>
            <w:color w:val="0000EE"/>
          </w:rPr>
          <w:t>10.1#</w:t>
        </w:r>
      </w:hyperlink>
      <w:r>
        <w:rPr>
          <w:rFonts w:ascii="Times New Roman" w:cs="Times New Roman" w:eastAsia="Times New Roman" w:hAnsi="Times New Roman"/>
          <w:sz w:val="18"/>
          <w:szCs w:val="18"/>
          <w:u w:val="single" w:color="auto"/>
          <w:color w:val="0000EE"/>
        </w:rPr>
        <w:tab/>
      </w:r>
      <w:hyperlink r:id="rId42">
        <w:r>
          <w:rPr>
            <w:rFonts w:ascii="Times New Roman" w:cs="Times New Roman" w:eastAsia="Times New Roman" w:hAnsi="Times New Roman"/>
            <w:sz w:val="18"/>
            <w:szCs w:val="18"/>
            <w:u w:val="single" w:color="auto"/>
            <w:color w:val="0000EE"/>
          </w:rPr>
          <w:t>Amendment to the License Agreement of September 20, 2013 by and between Tenax Therapeutics, Inc. and Orion Corporation, dated as of</w:t>
        </w:r>
      </w:hyperlink>
      <w:r>
        <w:rPr>
          <w:rFonts w:ascii="Times New Roman" w:cs="Times New Roman" w:eastAsia="Times New Roman" w:hAnsi="Times New Roman"/>
          <w:sz w:val="18"/>
          <w:szCs w:val="18"/>
          <w:u w:val="single" w:color="auto"/>
          <w:color w:val="0000EE"/>
        </w:rPr>
        <w:t xml:space="preserve"> </w:t>
      </w:r>
      <w:hyperlink r:id="rId42">
        <w:r>
          <w:rPr>
            <w:rFonts w:ascii="Times New Roman" w:cs="Times New Roman" w:eastAsia="Times New Roman" w:hAnsi="Times New Roman"/>
            <w:sz w:val="18"/>
            <w:szCs w:val="18"/>
            <w:u w:val="single" w:color="auto"/>
            <w:color w:val="0000EE"/>
          </w:rPr>
          <w:t>January 25, 2022. (incorporated herein by reference to Exhibit 10.1 to our Current Report on Form 8-K filed with the SEC on January 28,</w:t>
        </w:r>
      </w:hyperlink>
      <w:r>
        <w:rPr>
          <w:rFonts w:ascii="Times New Roman" w:cs="Times New Roman" w:eastAsia="Times New Roman" w:hAnsi="Times New Roman"/>
          <w:sz w:val="18"/>
          <w:szCs w:val="18"/>
          <w:u w:val="single" w:color="auto"/>
          <w:color w:val="0000EE"/>
        </w:rPr>
        <w:t xml:space="preserve"> </w:t>
      </w:r>
      <w:hyperlink r:id="rId42">
        <w:r>
          <w:rPr>
            <w:rFonts w:ascii="Times New Roman" w:cs="Times New Roman" w:eastAsia="Times New Roman" w:hAnsi="Times New Roman"/>
            <w:sz w:val="18"/>
            <w:szCs w:val="18"/>
            <w:u w:val="single" w:color="auto"/>
            <w:color w:val="0000EE"/>
          </w:rPr>
          <w:t>2022).</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411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32320" cy="411480"/>
                    </a:xfrm>
                    <a:prstGeom prst="rect">
                      <a:avLst/>
                    </a:prstGeom>
                    <a:noFill/>
                  </pic:spPr>
                </pic:pic>
              </a:graphicData>
            </a:graphic>
          </wp:anchor>
        </w:drawing>
      </w:r>
    </w:p>
    <w:p>
      <w:pPr>
        <w:spacing w:after="0" w:line="159" w:lineRule="exact"/>
        <w:rPr>
          <w:rFonts w:ascii="Times New Roman" w:cs="Times New Roman" w:eastAsia="Times New Roman" w:hAnsi="Times New Roman"/>
          <w:sz w:val="18"/>
          <w:szCs w:val="18"/>
          <w:u w:val="single" w:color="auto"/>
          <w:color w:val="0000EE"/>
        </w:rPr>
      </w:pPr>
    </w:p>
    <w:p>
      <w:pPr>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0000EE"/>
        </w:rPr>
        <w:t>31.1*</w:t>
      </w:r>
      <w:r>
        <w:rPr>
          <w:sz w:val="20"/>
          <w:szCs w:val="20"/>
          <w:color w:val="auto"/>
        </w:rPr>
        <w:tab/>
      </w:r>
      <w:r>
        <w:rPr>
          <w:rFonts w:ascii="Times New Roman" w:cs="Times New Roman" w:eastAsia="Times New Roman" w:hAnsi="Times New Roman"/>
          <w:sz w:val="18"/>
          <w:szCs w:val="18"/>
          <w:u w:val="single" w:color="auto"/>
          <w:color w:val="0000EE"/>
        </w:rPr>
        <w:t>Certification of President and Chief Executive Officer pursuant to Section 302 of the Sarbanes Oxley Act of 2002.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rFonts w:ascii="Times New Roman" w:cs="Times New Roman" w:eastAsia="Times New Roman" w:hAnsi="Times New Roman"/>
          <w:sz w:val="18"/>
          <w:szCs w:val="18"/>
          <w:u w:val="single" w:color="auto"/>
          <w:color w:val="0000EE"/>
        </w:rPr>
      </w:pPr>
    </w:p>
    <w:p>
      <w:pPr>
        <w:spacing w:after="0"/>
        <w:tabs>
          <w:tab w:leader="none" w:pos="860" w:val="left"/>
        </w:tabs>
        <w:rPr>
          <w:sz w:val="20"/>
          <w:szCs w:val="20"/>
          <w:color w:val="auto"/>
        </w:rPr>
      </w:pPr>
      <w:r>
        <w:rPr>
          <w:rFonts w:ascii="Times New Roman" w:cs="Times New Roman" w:eastAsia="Times New Roman" w:hAnsi="Times New Roman"/>
          <w:sz w:val="18"/>
          <w:szCs w:val="18"/>
          <w:u w:val="single" w:color="auto"/>
          <w:color w:val="0000EE"/>
        </w:rPr>
        <w:t>31.2*</w:t>
      </w:r>
      <w:r>
        <w:rPr>
          <w:sz w:val="20"/>
          <w:szCs w:val="20"/>
          <w:color w:val="auto"/>
        </w:rPr>
        <w:tab/>
      </w:r>
      <w:r>
        <w:rPr>
          <w:rFonts w:ascii="Times New Roman" w:cs="Times New Roman" w:eastAsia="Times New Roman" w:hAnsi="Times New Roman"/>
          <w:sz w:val="17"/>
          <w:szCs w:val="17"/>
          <w:u w:val="single" w:color="auto"/>
          <w:color w:val="0000EE"/>
        </w:rPr>
        <w:t>Certification of Interim Chief Financial Officer pursuant to Section 302 of the Sarbanes Oxley Act of 2002.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rFonts w:ascii="Times New Roman" w:cs="Times New Roman" w:eastAsia="Times New Roman" w:hAnsi="Times New Roman"/>
          <w:sz w:val="18"/>
          <w:szCs w:val="18"/>
          <w:u w:val="single" w:color="auto"/>
          <w:color w:val="0000EE"/>
        </w:rPr>
      </w:pPr>
    </w:p>
    <w:p>
      <w:pPr>
        <w:ind w:left="880" w:right="40" w:hanging="876"/>
        <w:spacing w:after="0" w:line="282" w:lineRule="auto"/>
        <w:tabs>
          <w:tab w:leader="none" w:pos="860" w:val="left"/>
        </w:tabs>
        <w:rPr>
          <w:sz w:val="20"/>
          <w:szCs w:val="20"/>
          <w:color w:val="auto"/>
        </w:rPr>
      </w:pPr>
      <w:r>
        <w:rPr>
          <w:rFonts w:ascii="Times New Roman" w:cs="Times New Roman" w:eastAsia="Times New Roman" w:hAnsi="Times New Roman"/>
          <w:sz w:val="18"/>
          <w:szCs w:val="18"/>
          <w:u w:val="single" w:color="auto"/>
          <w:color w:val="0000EE"/>
        </w:rPr>
        <w:t>32.1</w:t>
      </w:r>
      <w:r>
        <w:rPr>
          <w:sz w:val="20"/>
          <w:szCs w:val="20"/>
          <w:color w:val="auto"/>
        </w:rPr>
        <w:tab/>
      </w:r>
      <w:r>
        <w:rPr>
          <w:rFonts w:ascii="Times New Roman" w:cs="Times New Roman" w:eastAsia="Times New Roman" w:hAnsi="Times New Roman"/>
          <w:sz w:val="18"/>
          <w:szCs w:val="18"/>
          <w:u w:val="single" w:color="auto"/>
          <w:color w:val="0000EE"/>
        </w:rPr>
        <w:t>Certification of President and Chief Executive Officer pursuant to 18 U.S.C. Section 1350, as adopted pursuant to Section 906 of the Sarbanes-Oxley Act of 2002.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rFonts w:ascii="Times New Roman" w:cs="Times New Roman" w:eastAsia="Times New Roman" w:hAnsi="Times New Roman"/>
          <w:sz w:val="18"/>
          <w:szCs w:val="18"/>
          <w:u w:val="single" w:color="auto"/>
          <w:color w:val="0000EE"/>
        </w:rPr>
      </w:pPr>
    </w:p>
    <w:p>
      <w:pPr>
        <w:ind w:left="880" w:right="100" w:hanging="876"/>
        <w:spacing w:after="0" w:line="282" w:lineRule="auto"/>
        <w:tabs>
          <w:tab w:leader="none" w:pos="860" w:val="left"/>
        </w:tabs>
        <w:rPr>
          <w:sz w:val="20"/>
          <w:szCs w:val="20"/>
          <w:color w:val="auto"/>
        </w:rPr>
      </w:pPr>
      <w:r>
        <w:rPr>
          <w:rFonts w:ascii="Times New Roman" w:cs="Times New Roman" w:eastAsia="Times New Roman" w:hAnsi="Times New Roman"/>
          <w:sz w:val="18"/>
          <w:szCs w:val="18"/>
          <w:u w:val="single" w:color="auto"/>
          <w:color w:val="0000EE"/>
        </w:rPr>
        <w:t>32.2</w:t>
      </w:r>
      <w:r>
        <w:rPr>
          <w:sz w:val="20"/>
          <w:szCs w:val="20"/>
          <w:color w:val="auto"/>
        </w:rPr>
        <w:tab/>
      </w:r>
      <w:r>
        <w:rPr>
          <w:rFonts w:ascii="Times New Roman" w:cs="Times New Roman" w:eastAsia="Times New Roman" w:hAnsi="Times New Roman"/>
          <w:sz w:val="18"/>
          <w:szCs w:val="18"/>
          <w:u w:val="single" w:color="auto"/>
          <w:color w:val="0000EE"/>
        </w:rPr>
        <w:t>Certification of Interim Chief Financial Officer pursuant to 18 U.S.C. Section 1350, as adopted pursuant to Section 906 of the Sarbanes-Oxley Act of 2002.</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42" w:lineRule="exact"/>
        <w:rPr>
          <w:rFonts w:ascii="Times New Roman" w:cs="Times New Roman" w:eastAsia="Times New Roman" w:hAnsi="Times New Roman"/>
          <w:sz w:val="18"/>
          <w:szCs w:val="18"/>
          <w:u w:val="single" w:color="auto"/>
          <w:color w:val="0000EE"/>
        </w:rPr>
      </w:pPr>
    </w:p>
    <w:p>
      <w:pPr>
        <w:ind w:left="880" w:right="740" w:hanging="879"/>
        <w:spacing w:after="0" w:line="282" w:lineRule="auto"/>
        <w:tabs>
          <w:tab w:leader="none" w:pos="86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Inline XBRL Document Set for the condensed consolidated financial statements and accompanying notes in Part I, Item 1, “Financial Statements” of this Quarterly Report on Form 10-Q.</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32320" cy="82550"/>
                    </a:xfrm>
                    <a:prstGeom prst="rect">
                      <a:avLst/>
                    </a:prstGeom>
                    <a:noFill/>
                  </pic:spPr>
                </pic:pic>
              </a:graphicData>
            </a:graphic>
          </wp:anchor>
        </w:drawing>
      </w:r>
    </w:p>
    <w:p>
      <w:pPr>
        <w:sectPr>
          <w:pgSz w:w="11900" w:h="16838" w:orient="portrait"/>
          <w:cols w:equalWidth="0" w:num="1">
            <w:col w:w="11240"/>
          </w:cols>
          <w:pgMar w:left="320" w:top="333" w:right="339" w:bottom="0" w:gutter="0" w:footer="0" w:header="0"/>
        </w:sectPr>
      </w:pPr>
    </w:p>
    <w:bookmarkStart w:id="18" w:name="page19"/>
    <w:bookmarkEnd w:id="18"/>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Inline XBRL for the cover page of this Quarterly Report on Form 10-Q, included in the Exhibit 101 Inline XBRL Document Set.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Filed herewith</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b w:val="1"/>
          <w:bCs w:val="1"/>
          <w:color w:val="auto"/>
        </w:rPr>
        <w:t>#Portions of this Exhibit have been omitted pursuant to Item 601(b)(10)(iv) of Regulation S-K. The Company agrees to furnish supplementally an unredacted copy of this Exhibit to the Securities and Exchange Commission upon request.</w:t>
      </w:r>
    </w:p>
    <w:p>
      <w:pPr>
        <w:spacing w:after="0" w:line="39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0000EE"/>
        </w:rPr>
        <w:t>Table Of Contents</w:t>
      </w: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20" w:firstLine="60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b w:val="1"/>
          <w:bCs w:val="1"/>
          <w:color w:val="auto"/>
        </w:rPr>
        <w:t>TENAX THERAPEUTICS, INC.</w:t>
      </w:r>
    </w:p>
    <w:p>
      <w:pPr>
        <w:spacing w:after="0" w:line="207"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8"/>
          <w:szCs w:val="18"/>
          <w:color w:val="auto"/>
        </w:rPr>
        <w:t>By: /s/ Eliot M. Lurier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4942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spacing w:after="0" w:line="7"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Eliot M. Lurier</w:t>
      </w:r>
    </w:p>
    <w:p>
      <w:pPr>
        <w:spacing w:after="0" w:line="23"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Interim Chief Financial Officer</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(On behalf of the Registrant and as</w:t>
      </w:r>
    </w:p>
    <w:p>
      <w:pPr>
        <w:spacing w:after="0" w:line="9"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T. Giordano, certify that:</w:t>
      </w:r>
    </w:p>
    <w:p>
      <w:pPr>
        <w:spacing w:after="0" w:line="225"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Tenax Therapeutics, Inc.;</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20" w:hanging="467"/>
        <w:spacing w:after="0" w:line="266" w:lineRule="auto"/>
        <w:tabs>
          <w:tab w:leader="none" w:pos="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20" w:hanging="467"/>
        <w:spacing w:after="0" w:line="266" w:lineRule="auto"/>
        <w:tabs>
          <w:tab w:leader="none" w:pos="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20" w:hanging="467"/>
        <w:spacing w:after="0" w:line="282" w:lineRule="auto"/>
        <w:tabs>
          <w:tab w:leader="none" w:pos="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20" w:hanging="467"/>
        <w:spacing w:after="0" w:line="266" w:lineRule="auto"/>
        <w:tabs>
          <w:tab w:leader="none" w:pos="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20" w:hanging="467"/>
        <w:spacing w:after="0" w:line="282" w:lineRule="auto"/>
        <w:tabs>
          <w:tab w:leader="none" w:pos="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20" w:hanging="467"/>
        <w:spacing w:after="0" w:line="282" w:lineRule="auto"/>
        <w:tabs>
          <w:tab w:leader="none" w:pos="9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Christopher T.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24942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8"/>
          <w:szCs w:val="18"/>
          <w:color w:val="auto"/>
        </w:rPr>
        <w:t>Christopher T. Giordano</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7"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Eliot M. Lurier, certify that:</w:t>
      </w:r>
    </w:p>
    <w:p>
      <w:pPr>
        <w:spacing w:after="0" w:line="225"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Tenax Therapeutics, Inc.;</w:t>
      </w:r>
    </w:p>
    <w:p>
      <w:pPr>
        <w:spacing w:after="0" w:line="225"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460" w:hanging="452"/>
        <w:spacing w:after="0" w:line="266"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20" w:hanging="467"/>
        <w:spacing w:after="0" w:line="266" w:lineRule="auto"/>
        <w:tabs>
          <w:tab w:leader="none" w:pos="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20" w:hanging="467"/>
        <w:spacing w:after="0" w:line="266" w:lineRule="auto"/>
        <w:tabs>
          <w:tab w:leader="none" w:pos="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20" w:hanging="467"/>
        <w:spacing w:after="0" w:line="282" w:lineRule="auto"/>
        <w:tabs>
          <w:tab w:leader="none" w:pos="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20" w:hanging="467"/>
        <w:spacing w:after="0" w:line="266" w:lineRule="auto"/>
        <w:tabs>
          <w:tab w:leader="none" w:pos="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460" w:hanging="452"/>
        <w:spacing w:after="0" w:line="282"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20" w:hanging="467"/>
        <w:spacing w:after="0" w:line="282" w:lineRule="auto"/>
        <w:tabs>
          <w:tab w:leader="none" w:pos="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20" w:hanging="467"/>
        <w:spacing w:after="0" w:line="282" w:lineRule="auto"/>
        <w:tabs>
          <w:tab w:leader="none" w:pos="9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Eliot M. Lurier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24942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8"/>
          <w:szCs w:val="18"/>
          <w:color w:val="auto"/>
        </w:rPr>
        <w:t>Eliot M. Lurier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ACT OF 2002</w:t>
      </w:r>
    </w:p>
    <w:p>
      <w:pPr>
        <w:spacing w:after="0" w:line="207" w:lineRule="exact"/>
        <w:rPr>
          <w:sz w:val="20"/>
          <w:szCs w:val="20"/>
          <w:color w:val="auto"/>
        </w:rPr>
      </w:pPr>
    </w:p>
    <w:p>
      <w:pPr>
        <w:ind w:right="40" w:firstLine="607"/>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Tenax Therapeutics, Inc. (the “Company”) on Form 10-Q for the period ended March 31, 2022 as filed with the Securities and Exchange Commission on the date hereof (the “Report”), I, Christopher T. Giordano, President and Chief Executive Officer (Principal Executive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920" w:hanging="467"/>
        <w:spacing w:after="0"/>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20" w:hanging="467"/>
        <w:spacing w:after="0" w:line="282" w:lineRule="auto"/>
        <w:tabs>
          <w:tab w:leader="none" w:pos="9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covered by the Report.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Christopher T. Giordano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24942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8"/>
          <w:szCs w:val="18"/>
          <w:color w:val="auto"/>
        </w:rPr>
        <w:t>Christopher T. Giordano</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p>
      <w:pPr>
        <w:sectPr>
          <w:pgSz w:w="11900" w:h="16838" w:orient="portrait"/>
          <w:cols w:equalWidth="0" w:num="1">
            <w:col w:w="11240"/>
          </w:cols>
          <w:pgMar w:left="320" w:top="333"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 SECTION 906 OF THE SARBANES-OXLEY</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ACT OF 2002</w:t>
      </w:r>
    </w:p>
    <w:p>
      <w:pPr>
        <w:spacing w:after="0" w:line="207" w:lineRule="exact"/>
        <w:rPr>
          <w:sz w:val="20"/>
          <w:szCs w:val="20"/>
          <w:color w:val="auto"/>
        </w:rPr>
      </w:pPr>
    </w:p>
    <w:p>
      <w:pPr>
        <w:ind w:right="20" w:firstLine="607"/>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Tenax Therapeutics, Inc. (the “Company”) on Form 10-Q for the period ended March 31, 2022 as filed with the Securities and Exchange Commission on the date hereof (the “Report”), I, Eliot M. Lurier, Interim Chief Financial Officer (Principal Financial and Accounting Officer)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920" w:hanging="467"/>
        <w:spacing w:after="0"/>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920" w:hanging="467"/>
        <w:spacing w:after="0" w:line="282" w:lineRule="auto"/>
        <w:tabs>
          <w:tab w:leader="none" w:pos="9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for the periods covered by the Report.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May 16, 2022</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Eliot M. Lurier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5715</wp:posOffset>
            </wp:positionV>
            <wp:extent cx="24942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2494280" cy="8255"/>
                    </a:xfrm>
                    <a:prstGeom prst="rect">
                      <a:avLst/>
                    </a:prstGeom>
                    <a:noFill/>
                  </pic:spPr>
                </pic:pic>
              </a:graphicData>
            </a:graphic>
          </wp:anchor>
        </w:drawing>
      </w:r>
    </w:p>
    <w:p>
      <w:pPr>
        <w:ind w:left="5980"/>
        <w:spacing w:after="0"/>
        <w:rPr>
          <w:sz w:val="20"/>
          <w:szCs w:val="20"/>
          <w:color w:val="auto"/>
        </w:rPr>
      </w:pPr>
      <w:r>
        <w:rPr>
          <w:rFonts w:ascii="Times New Roman" w:cs="Times New Roman" w:eastAsia="Times New Roman" w:hAnsi="Times New Roman"/>
          <w:sz w:val="18"/>
          <w:szCs w:val="18"/>
          <w:color w:val="auto"/>
        </w:rPr>
        <w:t>Eliot M. Lurier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Interim Chief Financial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pacing w:after="0" w:line="20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Section 1350 , as adopted pursuant to Section 906 of the Sarbanes-Oxley Act of 2002,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lowerRoman"/>
      <w:start w:val="2"/>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1)"/>
      <w:numFmt w:val="lowerRoman"/>
      <w:start w:val="5"/>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42" Type="http://schemas.openxmlformats.org/officeDocument/2006/relationships/hyperlink" Target="http://www.sec.gov/Archives/edgar/data/34956/000165495422000860/tenx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2022-05-16T17:17:58Z</dcterms:created>
  <dcterms:modified xsi:type="dcterms:W3CDTF">2022-05-16T17:17:58Z</dcterms:modified>
</cp:coreProperties>
</file>