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10-Q</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ind w:left="0" w:right="0" w:hanging="0"/>
              <w:jc w:val="left"/>
              <w:rPr/>
            </w:pPr>
            <w:r>
              <w:rPr/>
              <w:t>☒</w:t>
            </w:r>
            <w:r>
              <w:rPr>
                <w:rStyle w:val="StrongEmphasis"/>
              </w:rPr>
              <w:t xml:space="preserve"> </w:t>
            </w:r>
          </w:p>
        </w:tc>
        <w:tc>
          <w:tcPr>
            <w:tcW w:w="9871" w:type="dxa"/>
            <w:tcBorders/>
            <w:vAlign w:val="center"/>
          </w:tcPr>
          <w:p>
            <w:pPr>
              <w:pStyle w:val="TableContents"/>
              <w:bidi w:val="0"/>
              <w:spacing w:before="0" w:after="0"/>
              <w:ind w:left="0" w:right="0" w:hanging="0"/>
              <w:jc w:val="left"/>
              <w:rPr/>
            </w:pPr>
            <w:r>
              <w:rPr>
                <w:rStyle w:val="StrongEmphasis"/>
                <w:rFonts w:ascii="times new roman" w:hAnsi="times new roman"/>
                <w:sz w:val="20"/>
              </w:rPr>
              <w:t>QUARTERLY REPORT PURSUANT TO SECTION 13 OR 15(d) OF THE SECURITIES EXCHANGE ACT OF 1934</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FOR THE QUARTERLY PERIOD ENDED June 30, 2023</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OR</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ind w:left="0" w:right="0" w:hanging="0"/>
              <w:jc w:val="left"/>
              <w:rPr/>
            </w:pPr>
            <w:r>
              <w:rPr/>
              <w:t>☐</w:t>
            </w:r>
            <w:r>
              <w:rPr>
                <w:rStyle w:val="StrongEmphasis"/>
              </w:rPr>
              <w:t xml:space="preserve"> </w:t>
            </w:r>
          </w:p>
        </w:tc>
        <w:tc>
          <w:tcPr>
            <w:tcW w:w="9871" w:type="dxa"/>
            <w:tcBorders/>
            <w:vAlign w:val="center"/>
          </w:tcPr>
          <w:p>
            <w:pPr>
              <w:pStyle w:val="TableContents"/>
              <w:bidi w:val="0"/>
              <w:spacing w:before="0" w:after="0"/>
              <w:ind w:left="0" w:right="0" w:hanging="0"/>
              <w:jc w:val="left"/>
              <w:rPr/>
            </w:pPr>
            <w:r>
              <w:rPr>
                <w:rStyle w:val="StrongEmphasis"/>
                <w:rFonts w:ascii="times new roman" w:hAnsi="times new roman"/>
                <w:sz w:val="20"/>
              </w:rPr>
              <w:t>TRANSITION REPORT PURSUANT TO SECTION 13 OR 15(d) OF THE SECURITIES EXCHANGE ACT OF 1934</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 xml:space="preserve">FOR THE TRANSITION PERIOD FROM </w:t>
      </w:r>
      <w:r>
        <w:rPr>
          <w:rStyle w:val="StrongEmphasis"/>
          <w:rFonts w:ascii="times new roman" w:hAnsi="times new roman"/>
          <w:sz w:val="20"/>
          <w:u w:val="single"/>
        </w:rPr>
        <w:t>            </w:t>
      </w:r>
      <w:r>
        <w:rPr>
          <w:rStyle w:val="StrongEmphasis"/>
          <w:rFonts w:ascii="times new roman" w:hAnsi="times new roman"/>
          <w:sz w:val="20"/>
        </w:rPr>
        <w:t xml:space="preserve"> TO </w:t>
      </w:r>
      <w:r>
        <w:rPr>
          <w:rStyle w:val="StrongEmphasis"/>
          <w:rFonts w:ascii="times new roman" w:hAnsi="times new roman"/>
          <w:sz w:val="20"/>
          <w:u w:val="single"/>
        </w:rPr>
        <w:t>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Commission File Number 001-34600</w:t>
      </w:r>
    </w:p>
    <w:p>
      <w:pPr>
        <w:pStyle w:val="TextBody"/>
        <w:bidi w:val="0"/>
        <w:spacing w:before="0" w:after="0"/>
        <w:ind w:left="0" w:right="0" w:hanging="0"/>
        <w:jc w:val="both"/>
        <w:rPr/>
      </w:pPr>
      <w:r>
        <w:rPr/>
        <w:t> </w:t>
      </w:r>
    </w:p>
    <w:tbl>
      <w:tblPr>
        <w:tblW w:w="5180" w:type="dxa"/>
        <w:jc w:val="left"/>
        <w:tblInd w:w="0" w:type="dxa"/>
        <w:tblLayout w:type="fixed"/>
        <w:tblCellMar>
          <w:top w:w="0" w:type="dxa"/>
          <w:left w:w="0" w:type="dxa"/>
          <w:bottom w:w="28" w:type="dxa"/>
          <w:right w:w="0" w:type="dxa"/>
        </w:tblCellMar>
      </w:tblPr>
      <w:tblGrid>
        <w:gridCol w:w="5180"/>
      </w:tblGrid>
      <w:tr>
        <w:trPr/>
        <w:tc>
          <w:tcPr>
            <w:tcW w:w="51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TENAX THERAPEUTICS, INC.</w:t>
            </w:r>
          </w:p>
        </w:tc>
      </w:tr>
      <w:tr>
        <w:trPr/>
        <w:tc>
          <w:tcPr>
            <w:tcW w:w="518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both"/>
        <w:rPr/>
      </w:pPr>
      <w:r>
        <w:rPr/>
        <w:t> </w:t>
      </w:r>
    </w:p>
    <w:tbl>
      <w:tblPr>
        <w:tblW w:w="5215" w:type="dxa"/>
        <w:jc w:val="left"/>
        <w:tblInd w:w="0" w:type="dxa"/>
        <w:tblLayout w:type="fixed"/>
        <w:tblCellMar>
          <w:top w:w="0" w:type="dxa"/>
          <w:left w:w="0" w:type="dxa"/>
          <w:bottom w:w="28" w:type="dxa"/>
          <w:right w:w="0" w:type="dxa"/>
        </w:tblCellMar>
      </w:tblPr>
      <w:tblGrid>
        <w:gridCol w:w="2045"/>
        <w:gridCol w:w="90"/>
        <w:gridCol w:w="3080"/>
      </w:tblGrid>
      <w:tr>
        <w:trPr/>
        <w:tc>
          <w:tcPr>
            <w:tcW w:w="204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Delaware</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30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26-2593535</w:t>
            </w:r>
          </w:p>
        </w:tc>
      </w:tr>
      <w:tr>
        <w:trPr/>
        <w:tc>
          <w:tcPr>
            <w:tcW w:w="204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of incorporation)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308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 Identification No.)</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u w:val="single"/>
        </w:rPr>
        <w:t>101 Glen Lennox Drive, Suite 300, Chapel Hill, North Carolina 27517</w:t>
      </w:r>
    </w:p>
    <w:p>
      <w:pPr>
        <w:pStyle w:val="TextBody"/>
        <w:bidi w:val="0"/>
        <w:spacing w:before="0" w:after="0"/>
        <w:ind w:left="0" w:right="0" w:hanging="0"/>
        <w:jc w:val="center"/>
        <w:rPr/>
      </w:pPr>
      <w:r>
        <w:rPr>
          <w:rStyle w:val="StrongEmphasis"/>
          <w:rFonts w:ascii="times new roman" w:hAnsi="times new roman"/>
          <w:sz w:val="20"/>
        </w:rPr>
        <w:t>(Address of principal executive offices, including zip code)</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u w:val="single"/>
        </w:rPr>
        <w:t>(919) 855-2100</w:t>
      </w:r>
    </w:p>
    <w:p>
      <w:pPr>
        <w:pStyle w:val="TextBody"/>
        <w:bidi w:val="0"/>
        <w:spacing w:before="0" w:after="0"/>
        <w:ind w:left="0" w:right="0" w:hanging="0"/>
        <w:jc w:val="center"/>
        <w:rPr/>
      </w:pPr>
      <w:r>
        <w:rPr>
          <w:rStyle w:val="StrongEmphasis"/>
          <w:rFonts w:ascii="times new roman" w:hAnsi="times new roman"/>
          <w:sz w:val="20"/>
        </w:rPr>
        <w:t>(Registrant’s telephone number, including area code)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9033" w:type="dxa"/>
        <w:jc w:val="left"/>
        <w:tblInd w:w="0" w:type="dxa"/>
        <w:tblLayout w:type="fixed"/>
        <w:tblCellMar>
          <w:top w:w="28" w:type="dxa"/>
          <w:left w:w="28" w:type="dxa"/>
          <w:bottom w:w="0" w:type="dxa"/>
          <w:right w:w="0" w:type="dxa"/>
        </w:tblCellMar>
      </w:tblPr>
      <w:tblGrid>
        <w:gridCol w:w="3706"/>
        <w:gridCol w:w="1621"/>
        <w:gridCol w:w="3706"/>
      </w:tblGrid>
      <w:tr>
        <w:trPr/>
        <w:tc>
          <w:tcPr>
            <w:tcW w:w="3706"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62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3706"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rPr/>
        <w:tc>
          <w:tcPr>
            <w:tcW w:w="3706"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$0.0001 par value per share</w:t>
            </w:r>
          </w:p>
        </w:tc>
        <w:tc>
          <w:tcPr>
            <w:tcW w:w="162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TENX</w:t>
            </w:r>
          </w:p>
        </w:tc>
        <w:tc>
          <w:tcPr>
            <w:tcW w:w="3706"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 </w:t>
      </w:r>
    </w:p>
    <w:tbl>
      <w:tblPr>
        <w:tblW w:w="5090" w:type="dxa"/>
        <w:jc w:val="left"/>
        <w:tblInd w:w="0" w:type="dxa"/>
        <w:tblLayout w:type="fixed"/>
        <w:tblCellMar>
          <w:top w:w="0" w:type="dxa"/>
          <w:left w:w="0" w:type="dxa"/>
          <w:bottom w:w="0" w:type="dxa"/>
          <w:right w:w="0" w:type="dxa"/>
        </w:tblCellMar>
      </w:tblPr>
      <w:tblGrid>
        <w:gridCol w:w="2270"/>
        <w:gridCol w:w="260"/>
        <w:gridCol w:w="2255"/>
        <w:gridCol w:w="305"/>
      </w:tblGrid>
      <w:tr>
        <w:trPr/>
        <w:tc>
          <w:tcPr>
            <w:tcW w:w="22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Large Accelerated filer</w:t>
            </w:r>
          </w:p>
        </w:tc>
        <w:tc>
          <w:tcPr>
            <w:tcW w:w="260" w:type="dxa"/>
            <w:tcBorders/>
            <w:vAlign w:val="center"/>
          </w:tcPr>
          <w:p>
            <w:pPr>
              <w:pStyle w:val="TableContents"/>
              <w:bidi w:val="0"/>
              <w:spacing w:before="0" w:after="0"/>
              <w:ind w:left="0" w:right="0" w:hanging="0"/>
              <w:jc w:val="left"/>
              <w:rPr/>
            </w:pPr>
            <w:r>
              <w:rPr/>
              <w:t>☐</w:t>
            </w:r>
          </w:p>
        </w:tc>
        <w:tc>
          <w:tcPr>
            <w:tcW w:w="2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Accelerated filer</w:t>
            </w:r>
          </w:p>
        </w:tc>
        <w:tc>
          <w:tcPr>
            <w:tcW w:w="305" w:type="dxa"/>
            <w:tcBorders/>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Non-accelerated Filer</w:t>
            </w:r>
          </w:p>
        </w:tc>
        <w:tc>
          <w:tcPr>
            <w:tcW w:w="260" w:type="dxa"/>
            <w:tcBorders/>
            <w:vAlign w:val="center"/>
          </w:tcPr>
          <w:p>
            <w:pPr>
              <w:pStyle w:val="TableContents"/>
              <w:bidi w:val="0"/>
              <w:spacing w:before="0" w:after="0"/>
              <w:ind w:left="0" w:right="0" w:hanging="0"/>
              <w:jc w:val="left"/>
              <w:rPr/>
            </w:pPr>
            <w:r>
              <w:rPr/>
              <w:t>☒</w:t>
            </w:r>
          </w:p>
        </w:tc>
        <w:tc>
          <w:tcPr>
            <w:tcW w:w="2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w:t>
            </w:r>
          </w:p>
        </w:tc>
        <w:tc>
          <w:tcPr>
            <w:tcW w:w="305" w:type="dxa"/>
            <w:tcBorders/>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Emerging growth company</w:t>
            </w:r>
          </w:p>
        </w:tc>
        <w:tc>
          <w:tcPr>
            <w:tcW w:w="260" w:type="dxa"/>
            <w:tcBorders/>
            <w:vAlign w:val="center"/>
          </w:tcPr>
          <w:p>
            <w:pPr>
              <w:pStyle w:val="TableContents"/>
              <w:bidi w:val="0"/>
              <w:spacing w:before="0" w:after="0"/>
              <w:ind w:left="0" w:right="0" w:hanging="0"/>
              <w:jc w:val="left"/>
              <w:rPr/>
            </w:pPr>
            <w:r>
              <w:rPr/>
              <w:t>☐</w:t>
            </w:r>
          </w:p>
        </w:tc>
        <w:tc>
          <w:tcPr>
            <w:tcW w:w="2255" w:type="dxa"/>
            <w:tcBorders/>
            <w:vAlign w:val="center"/>
          </w:tcPr>
          <w:p>
            <w:pPr>
              <w:pStyle w:val="TableContents"/>
              <w:bidi w:val="0"/>
              <w:spacing w:before="0" w:after="0"/>
              <w:ind w:left="0" w:right="0" w:hanging="0"/>
              <w:jc w:val="both"/>
              <w:rPr/>
            </w:pPr>
            <w:r>
              <w:rPr/>
              <w:t> </w:t>
            </w:r>
          </w:p>
        </w:tc>
        <w:tc>
          <w:tcPr>
            <w:tcW w:w="305"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Indicate by check mark whether the registrant is a shell company (as defined by Rule 12b-2 of the Exchange Act). Yes ☐     No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August 7, 2023 the registrant had outstanding 23,862,434 shares of Common Stock.</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0" w:name="toc"/>
      <w:bookmarkEnd w:id="0"/>
      <w:r>
        <w:rPr>
          <w:rStyle w:val="StrongEmphasis"/>
          <w:rFonts w:ascii="times new roman" w:hAnsi="times new roman"/>
          <w:sz w:val="20"/>
        </w:rPr>
        <w:t>TABLE OF CONTENTS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5"/>
        <w:gridCol w:w="8635"/>
        <w:gridCol w:w="90"/>
        <w:gridCol w:w="590"/>
        <w:gridCol w:w="135"/>
      </w:tblGrid>
      <w:tr>
        <w:trPr/>
        <w:tc>
          <w:tcPr>
            <w:tcW w:w="755" w:type="dxa"/>
            <w:tcBorders/>
            <w:vAlign w:val="center"/>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0"/>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PAGE</w:t>
            </w:r>
          </w:p>
        </w:tc>
        <w:tc>
          <w:tcPr>
            <w:tcW w:w="135" w:type="dxa"/>
            <w:tcBorders/>
            <w:vAlign w:val="center"/>
          </w:tcPr>
          <w:p>
            <w:pPr>
              <w:pStyle w:val="TableContents"/>
              <w:bidi w:val="0"/>
              <w:spacing w:before="0" w:after="0"/>
              <w:ind w:left="0" w:right="0" w:hanging="0"/>
              <w:jc w:val="left"/>
              <w:rPr/>
            </w:pPr>
            <w:r>
              <w:rPr/>
              <w:t> </w:t>
            </w:r>
          </w:p>
        </w:tc>
      </w:tr>
      <w:tr>
        <w:trPr/>
        <w:tc>
          <w:tcPr>
            <w:tcW w:w="9390" w:type="dxa"/>
            <w:gridSpan w:val="2"/>
            <w:tcBorders/>
            <w:vAlign w:val="center"/>
          </w:tcPr>
          <w:p>
            <w:pPr>
              <w:pStyle w:val="TableContents"/>
              <w:bidi w:val="0"/>
              <w:spacing w:before="0" w:after="0"/>
              <w:ind w:left="0" w:right="0" w:hanging="0"/>
              <w:jc w:val="left"/>
              <w:rPr/>
            </w:pPr>
            <w:hyperlink w:anchor="p1">
              <w:r>
                <w:rPr>
                  <w:rStyle w:val="InternetLink"/>
                  <w:rFonts w:ascii="times new roman" w:hAnsi="times new roman"/>
                  <w:b/>
                  <w:b/>
                  <w:bCs/>
                  <w:sz w:val="20"/>
                </w:rPr>
                <w:t>PART I. FINANCIAL INFORMATION</w:t>
              </w:r>
            </w:hyperlink>
          </w:p>
        </w:tc>
        <w:tc>
          <w:tcPr>
            <w:tcW w:w="90"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CCEEFF" w:val="clear"/>
            <w:vAlign w:val="center"/>
          </w:tcPr>
          <w:p>
            <w:pPr>
              <w:pStyle w:val="TableContents"/>
              <w:bidi w:val="0"/>
              <w:spacing w:before="0" w:after="0"/>
              <w:ind w:left="0" w:right="0" w:hanging="0"/>
              <w:jc w:val="left"/>
              <w:rPr/>
            </w:pPr>
            <w:hyperlink w:anchor="i1">
              <w:r>
                <w:rPr>
                  <w:rStyle w:val="InternetLink"/>
                  <w:rFonts w:ascii="times new roman" w:hAnsi="times new roman"/>
                  <w:sz w:val="20"/>
                </w:rPr>
                <w:t>Item 1.</w:t>
              </w:r>
            </w:hyperlink>
          </w:p>
        </w:tc>
        <w:tc>
          <w:tcPr>
            <w:tcW w:w="8635" w:type="dxa"/>
            <w:tcBorders/>
            <w:shd w:fill="CCEEFF" w:val="clear"/>
            <w:vAlign w:val="center"/>
          </w:tcPr>
          <w:p>
            <w:pPr>
              <w:pStyle w:val="TableContents"/>
              <w:bidi w:val="0"/>
              <w:spacing w:before="0" w:after="0"/>
              <w:ind w:left="0" w:right="0" w:hanging="0"/>
              <w:jc w:val="left"/>
              <w:rPr/>
            </w:pPr>
            <w:hyperlink w:anchor="i1">
              <w:r>
                <w:rPr>
                  <w:rStyle w:val="InternetLink"/>
                  <w:rFonts w:ascii="times new roman" w:hAnsi="times new roman"/>
                  <w:sz w:val="20"/>
                </w:rPr>
                <w:t>Condensed Consolidated Financial Statements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635" w:type="dxa"/>
            <w:tcBorders/>
            <w:shd w:fill="FFFFFF" w:val="clear"/>
            <w:vAlign w:val="center"/>
          </w:tcPr>
          <w:p>
            <w:pPr>
              <w:pStyle w:val="TableContents"/>
              <w:bidi w:val="0"/>
              <w:spacing w:before="0" w:after="0"/>
              <w:ind w:left="0" w:right="0" w:hanging="0"/>
              <w:jc w:val="left"/>
              <w:rPr/>
            </w:pPr>
            <w:hyperlink w:anchor="bs">
              <w:r>
                <w:rPr>
                  <w:rStyle w:val="InternetLink"/>
                  <w:rFonts w:ascii="times new roman" w:hAnsi="times new roman"/>
                  <w:sz w:val="20"/>
                </w:rPr>
                <w:t>Condensed Consolidated Balance Sheets as of June 30, 2023 (Unaudited) and December 31, 2022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r>
              <w:rPr/>
              <w:t> </w:t>
            </w:r>
          </w:p>
        </w:tc>
        <w:tc>
          <w:tcPr>
            <w:tcW w:w="8635" w:type="dxa"/>
            <w:tcBorders/>
            <w:shd w:fill="CCEEFF" w:val="clear"/>
            <w:vAlign w:val="center"/>
          </w:tcPr>
          <w:p>
            <w:pPr>
              <w:pStyle w:val="TableContents"/>
              <w:bidi w:val="0"/>
              <w:spacing w:before="0" w:after="0"/>
              <w:ind w:left="0" w:right="0" w:hanging="0"/>
              <w:jc w:val="left"/>
              <w:rPr/>
            </w:pPr>
            <w:hyperlink w:anchor="op">
              <w:r>
                <w:rPr>
                  <w:rStyle w:val="InternetLink"/>
                  <w:rFonts w:ascii="times new roman" w:hAnsi="times new roman"/>
                  <w:sz w:val="20"/>
                </w:rPr>
                <w:t>Condensed Consolidated Statement of Operations (Unaudited) for the Three and Six  Months Ended June 30, 2023 and 2022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635" w:type="dxa"/>
            <w:tcBorders/>
            <w:shd w:fill="FFFFFF" w:val="clear"/>
            <w:vAlign w:val="center"/>
          </w:tcPr>
          <w:p>
            <w:pPr>
              <w:pStyle w:val="TableContents"/>
              <w:bidi w:val="0"/>
              <w:spacing w:before="0" w:after="0"/>
              <w:ind w:left="0" w:right="0" w:hanging="0"/>
              <w:jc w:val="left"/>
              <w:rPr/>
            </w:pPr>
            <w:hyperlink w:anchor="eq">
              <w:r>
                <w:rPr>
                  <w:rStyle w:val="InternetLink"/>
                  <w:rFonts w:ascii="times new roman" w:hAnsi="times new roman"/>
                  <w:sz w:val="20"/>
                </w:rPr>
                <w:t>Condensed Consolidated Statements of Stockholders’ Equity (Unaudited) for the Three and Six Months Ended June 30, 2023 and 2022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8635" w:type="dxa"/>
            <w:tcBorders/>
            <w:shd w:fill="CCEEFF" w:val="clear"/>
            <w:vAlign w:val="center"/>
          </w:tcPr>
          <w:p>
            <w:pPr>
              <w:pStyle w:val="TableContents"/>
              <w:bidi w:val="0"/>
              <w:spacing w:before="0" w:after="0"/>
              <w:ind w:left="0" w:right="0" w:hanging="0"/>
              <w:jc w:val="left"/>
              <w:rPr/>
            </w:pPr>
            <w:hyperlink w:anchor="cf">
              <w:r>
                <w:rPr>
                  <w:rStyle w:val="InternetLink"/>
                  <w:rFonts w:ascii="times new roman" w:hAnsi="times new roman"/>
                  <w:sz w:val="20"/>
                </w:rPr>
                <w:t>Condensed Consolidated Statements of Cash Flows (Unaudited) for the Six Months Ended June 30, 2023 and 2022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635" w:type="dxa"/>
            <w:tcBorders/>
            <w:shd w:fill="FFFFFF" w:val="clear"/>
            <w:vAlign w:val="center"/>
          </w:tcPr>
          <w:p>
            <w:pPr>
              <w:pStyle w:val="TableContents"/>
              <w:bidi w:val="0"/>
              <w:spacing w:before="0" w:after="0"/>
              <w:ind w:left="0" w:right="0" w:hanging="0"/>
              <w:jc w:val="left"/>
              <w:rPr/>
            </w:pPr>
            <w:hyperlink w:anchor="n">
              <w:r>
                <w:rPr>
                  <w:rStyle w:val="InternetLink"/>
                  <w:rFonts w:ascii="times new roman" w:hAnsi="times new roman"/>
                  <w:sz w:val="20"/>
                </w:rPr>
                <w:t>Notes to Condensed Consolidated Financial Statements (Unaudited)</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hyperlink w:anchor="i2">
              <w:r>
                <w:rPr>
                  <w:rStyle w:val="InternetLink"/>
                  <w:rFonts w:ascii="times new roman" w:hAnsi="times new roman"/>
                  <w:sz w:val="20"/>
                </w:rPr>
                <w:t>Item 2.</w:t>
              </w:r>
            </w:hyperlink>
          </w:p>
        </w:tc>
        <w:tc>
          <w:tcPr>
            <w:tcW w:w="8635" w:type="dxa"/>
            <w:tcBorders/>
            <w:shd w:fill="CCEEFF" w:val="clear"/>
            <w:vAlign w:val="center"/>
          </w:tcPr>
          <w:p>
            <w:pPr>
              <w:pStyle w:val="TableContents"/>
              <w:bidi w:val="0"/>
              <w:spacing w:before="0" w:after="0"/>
              <w:ind w:left="0" w:right="0" w:hanging="0"/>
              <w:jc w:val="left"/>
              <w:rPr/>
            </w:pPr>
            <w:hyperlink w:anchor="i2">
              <w:r>
                <w:rPr>
                  <w:rStyle w:val="InternetLink"/>
                  <w:rFonts w:ascii="times new roman" w:hAnsi="times new roman"/>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0"/>
              <w:ind w:left="0" w:right="0" w:hanging="0"/>
              <w:jc w:val="left"/>
              <w:rPr/>
            </w:pPr>
            <w:hyperlink w:anchor="i3">
              <w:r>
                <w:rPr>
                  <w:rStyle w:val="InternetLink"/>
                  <w:rFonts w:ascii="times new roman" w:hAnsi="times new roman"/>
                  <w:sz w:val="20"/>
                </w:rPr>
                <w:t>Item 3.</w:t>
              </w:r>
            </w:hyperlink>
          </w:p>
        </w:tc>
        <w:tc>
          <w:tcPr>
            <w:tcW w:w="8635" w:type="dxa"/>
            <w:tcBorders/>
            <w:shd w:fill="FFFFFF" w:val="clear"/>
            <w:vAlign w:val="center"/>
          </w:tcPr>
          <w:p>
            <w:pPr>
              <w:pStyle w:val="TableContents"/>
              <w:bidi w:val="0"/>
              <w:spacing w:before="0" w:after="0"/>
              <w:ind w:left="0" w:right="0" w:hanging="0"/>
              <w:jc w:val="left"/>
              <w:rPr/>
            </w:pPr>
            <w:hyperlink w:anchor="i3">
              <w:r>
                <w:rPr>
                  <w:rStyle w:val="InternetLink"/>
                  <w:rFonts w:ascii="times new roman" w:hAnsi="times new roman"/>
                  <w:sz w:val="20"/>
                </w:rPr>
                <w:t>Quantitative and Qualitative Disclosures About Market Risk</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hyperlink w:anchor="i4">
              <w:r>
                <w:rPr>
                  <w:rStyle w:val="InternetLink"/>
                  <w:rFonts w:ascii="times new roman" w:hAnsi="times new roman"/>
                  <w:sz w:val="20"/>
                </w:rPr>
                <w:t>Item 4.</w:t>
              </w:r>
            </w:hyperlink>
          </w:p>
        </w:tc>
        <w:tc>
          <w:tcPr>
            <w:tcW w:w="8635" w:type="dxa"/>
            <w:tcBorders/>
            <w:shd w:fill="CCEEFF" w:val="clear"/>
            <w:vAlign w:val="center"/>
          </w:tcPr>
          <w:p>
            <w:pPr>
              <w:pStyle w:val="TableContents"/>
              <w:bidi w:val="0"/>
              <w:spacing w:before="0" w:after="0"/>
              <w:ind w:left="0" w:right="0" w:hanging="0"/>
              <w:jc w:val="left"/>
              <w:rPr/>
            </w:pPr>
            <w:hyperlink w:anchor="i4">
              <w:r>
                <w:rPr>
                  <w:rStyle w:val="InternetLink"/>
                  <w:rFonts w:ascii="times new roman" w:hAnsi="times new roman"/>
                  <w:sz w:val="20"/>
                </w:rPr>
                <w:t>Controls and Procedures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635"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390" w:type="dxa"/>
            <w:gridSpan w:val="2"/>
            <w:tcBorders/>
            <w:shd w:fill="FFFFFF" w:val="clear"/>
            <w:vAlign w:val="center"/>
          </w:tcPr>
          <w:p>
            <w:pPr>
              <w:pStyle w:val="TableContents"/>
              <w:bidi w:val="0"/>
              <w:spacing w:before="0" w:after="0"/>
              <w:ind w:left="0" w:right="0" w:hanging="0"/>
              <w:jc w:val="left"/>
              <w:rPr/>
            </w:pPr>
            <w:hyperlink w:anchor="p2">
              <w:r>
                <w:rPr>
                  <w:rStyle w:val="InternetLink"/>
                  <w:rFonts w:ascii="times new roman" w:hAnsi="times new roman"/>
                  <w:b/>
                  <w:b/>
                  <w:bCs/>
                  <w:sz w:val="20"/>
                </w:rPr>
                <w:t>PART II. OTHER INFORMATION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755" w:type="dxa"/>
            <w:tcBorders/>
            <w:shd w:fill="CCEEFF" w:val="clear"/>
            <w:vAlign w:val="center"/>
          </w:tcPr>
          <w:p>
            <w:pPr>
              <w:pStyle w:val="TableContents"/>
              <w:bidi w:val="0"/>
              <w:spacing w:before="0" w:after="0"/>
              <w:ind w:left="0" w:right="0" w:hanging="0"/>
              <w:jc w:val="left"/>
              <w:rPr/>
            </w:pPr>
            <w:hyperlink w:anchor="ii1">
              <w:r>
                <w:rPr>
                  <w:rStyle w:val="InternetLink"/>
                  <w:rFonts w:ascii="times new roman" w:hAnsi="times new roman"/>
                  <w:sz w:val="20"/>
                </w:rPr>
                <w:t>Item 1.</w:t>
              </w:r>
            </w:hyperlink>
          </w:p>
        </w:tc>
        <w:tc>
          <w:tcPr>
            <w:tcW w:w="8635" w:type="dxa"/>
            <w:tcBorders/>
            <w:shd w:fill="CCEEFF" w:val="clear"/>
            <w:vAlign w:val="center"/>
          </w:tcPr>
          <w:p>
            <w:pPr>
              <w:pStyle w:val="TableContents"/>
              <w:bidi w:val="0"/>
              <w:spacing w:before="0" w:after="0"/>
              <w:ind w:left="0" w:right="0" w:hanging="0"/>
              <w:jc w:val="left"/>
              <w:rPr/>
            </w:pPr>
            <w:hyperlink w:anchor="ii1">
              <w:r>
                <w:rPr>
                  <w:rStyle w:val="InternetLink"/>
                  <w:rFonts w:ascii="times new roman" w:hAnsi="times new roman"/>
                  <w:sz w:val="20"/>
                </w:rPr>
                <w:t>Legal Proceedings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0"/>
              <w:ind w:left="0" w:right="0" w:hanging="0"/>
              <w:jc w:val="left"/>
              <w:rPr/>
            </w:pPr>
            <w:hyperlink w:anchor="ii1a">
              <w:r>
                <w:rPr>
                  <w:rStyle w:val="InternetLink"/>
                  <w:rFonts w:ascii="times new roman" w:hAnsi="times new roman"/>
                  <w:sz w:val="20"/>
                </w:rPr>
                <w:t>Item 1A.</w:t>
              </w:r>
            </w:hyperlink>
          </w:p>
        </w:tc>
        <w:tc>
          <w:tcPr>
            <w:tcW w:w="8635" w:type="dxa"/>
            <w:tcBorders/>
            <w:shd w:fill="FFFFFF" w:val="clear"/>
            <w:vAlign w:val="center"/>
          </w:tcPr>
          <w:p>
            <w:pPr>
              <w:pStyle w:val="TableContents"/>
              <w:bidi w:val="0"/>
              <w:spacing w:before="0" w:after="0"/>
              <w:ind w:left="0" w:right="0" w:hanging="0"/>
              <w:jc w:val="left"/>
              <w:rPr/>
            </w:pPr>
            <w:hyperlink w:anchor="ii1a">
              <w:r>
                <w:rPr>
                  <w:rStyle w:val="InternetLink"/>
                  <w:rFonts w:ascii="times new roman" w:hAnsi="times new roman"/>
                  <w:sz w:val="20"/>
                </w:rPr>
                <w:t>Risk Factors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28</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hyperlink w:anchor="ii6">
              <w:r>
                <w:rPr>
                  <w:rStyle w:val="InternetLink"/>
                  <w:rFonts w:ascii="times new roman" w:hAnsi="times new roman"/>
                  <w:sz w:val="20"/>
                </w:rPr>
                <w:t>Item 6.</w:t>
              </w:r>
            </w:hyperlink>
          </w:p>
        </w:tc>
        <w:tc>
          <w:tcPr>
            <w:tcW w:w="8635" w:type="dxa"/>
            <w:tcBorders/>
            <w:shd w:fill="CCEEFF" w:val="clear"/>
            <w:vAlign w:val="center"/>
          </w:tcPr>
          <w:p>
            <w:pPr>
              <w:pStyle w:val="TableContents"/>
              <w:bidi w:val="0"/>
              <w:spacing w:before="0" w:after="0"/>
              <w:ind w:left="0" w:right="0" w:hanging="0"/>
              <w:jc w:val="left"/>
              <w:rPr/>
            </w:pPr>
            <w:hyperlink w:anchor="ii6">
              <w:r>
                <w:rPr>
                  <w:rStyle w:val="InternetLink"/>
                  <w:rFonts w:ascii="times new roman" w:hAnsi="times new roman"/>
                  <w:sz w:val="20"/>
                </w:rPr>
                <w:t>Exhibits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0"/>
              <w:ind w:left="0" w:right="0" w:hanging="0"/>
              <w:jc w:val="left"/>
              <w:rPr/>
            </w:pPr>
            <w:r>
              <w:rPr/>
              <w:t> </w:t>
            </w:r>
          </w:p>
        </w:tc>
        <w:tc>
          <w:tcPr>
            <w:tcW w:w="863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390" w:type="dxa"/>
            <w:gridSpan w:val="2"/>
            <w:tcBorders/>
            <w:shd w:fill="CCEEFF" w:val="clear"/>
            <w:vAlign w:val="center"/>
          </w:tcPr>
          <w:p>
            <w:pPr>
              <w:pStyle w:val="TableContents"/>
              <w:bidi w:val="0"/>
              <w:spacing w:before="0" w:after="0"/>
              <w:ind w:left="0" w:right="0" w:hanging="0"/>
              <w:jc w:val="left"/>
              <w:rPr/>
            </w:pPr>
            <w:hyperlink w:anchor="sign">
              <w:r>
                <w:rPr>
                  <w:rStyle w:val="InternetLink"/>
                  <w:rFonts w:ascii="times new roman" w:hAnsi="times new roman"/>
                  <w:b/>
                  <w:b/>
                  <w:bCs/>
                  <w:sz w:val="20"/>
                </w:rPr>
                <w:t>SIGNATURES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29</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 w:name="p1"/>
      <w:bookmarkEnd w:id="1"/>
      <w:r>
        <w:rPr>
          <w:rStyle w:val="StrongEmphasis"/>
          <w:rFonts w:ascii="times new roman" w:hAnsi="times new roman"/>
          <w:sz w:val="20"/>
        </w:rPr>
        <w:t>PART I - FINANCIAL INFORMATION</w:t>
      </w:r>
    </w:p>
    <w:p>
      <w:pPr>
        <w:pStyle w:val="TextBody"/>
        <w:bidi w:val="0"/>
        <w:spacing w:before="0" w:after="0"/>
        <w:ind w:left="0" w:right="0" w:hanging="0"/>
        <w:jc w:val="center"/>
        <w:rPr/>
      </w:pPr>
      <w:r>
        <w:rPr/>
        <w:t> </w:t>
      </w:r>
    </w:p>
    <w:p>
      <w:pPr>
        <w:pStyle w:val="TextBody"/>
        <w:bidi w:val="0"/>
        <w:spacing w:before="0" w:after="0"/>
        <w:ind w:left="0" w:right="0" w:hanging="0"/>
        <w:jc w:val="both"/>
        <w:rPr/>
      </w:pPr>
      <w:bookmarkStart w:id="2" w:name="i1"/>
      <w:bookmarkEnd w:id="2"/>
      <w:r>
        <w:rPr>
          <w:rStyle w:val="StrongEmphasis"/>
          <w:rFonts w:ascii="times new roman" w:hAnsi="times new roman"/>
          <w:sz w:val="20"/>
        </w:rPr>
        <w:t>ITEM 1.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3" w:name="bs"/>
      <w:bookmarkEnd w:id="3"/>
      <w:r>
        <w:rPr>
          <w:rStyle w:val="StrongEmphasis"/>
          <w:rFonts w:ascii="times new roman" w:hAnsi="times new roman"/>
          <w:sz w:val="20"/>
        </w:rPr>
        <w:t>TENAX THERAPEUTICS, INC.</w:t>
      </w:r>
    </w:p>
    <w:p>
      <w:pPr>
        <w:pStyle w:val="TextBody"/>
        <w:bidi w:val="0"/>
        <w:spacing w:before="0" w:after="0"/>
        <w:ind w:left="0" w:right="0" w:hanging="0"/>
        <w:jc w:val="center"/>
        <w:rPr/>
      </w:pPr>
      <w:r>
        <w:rPr>
          <w:rStyle w:val="StrongEmphasis"/>
          <w:rFonts w:ascii="times new roman" w:hAnsi="times new roman"/>
          <w:sz w:val="20"/>
        </w:rPr>
        <w:t>CONDENSED CONSOLIDATED BALANCE SHEETS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740"/>
        <w:gridCol w:w="90"/>
        <w:gridCol w:w="170"/>
        <w:gridCol w:w="1325"/>
        <w:gridCol w:w="125"/>
        <w:gridCol w:w="90"/>
        <w:gridCol w:w="170"/>
        <w:gridCol w:w="1325"/>
        <w:gridCol w:w="170"/>
      </w:tblGrid>
      <w:tr>
        <w:trPr/>
        <w:tc>
          <w:tcPr>
            <w:tcW w:w="67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June 30, </w:t>
            </w:r>
          </w:p>
          <w:p>
            <w:pPr>
              <w:pStyle w:val="TableContents"/>
              <w:bidi w:val="0"/>
              <w:spacing w:before="0" w:after="0"/>
              <w:ind w:left="0" w:right="0" w:hanging="0"/>
              <w:jc w:val="center"/>
              <w:rPr/>
            </w:pPr>
            <w:r>
              <w:rPr>
                <w:rStyle w:val="StrongEmphasis"/>
                <w:rFonts w:ascii="times new roman" w:hAnsi="times new roman"/>
                <w:sz w:val="20"/>
              </w:rPr>
              <w:t>2023</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December 31, </w:t>
            </w:r>
          </w:p>
          <w:p>
            <w:pPr>
              <w:pStyle w:val="TableContents"/>
              <w:bidi w:val="0"/>
              <w:spacing w:before="0" w:after="0"/>
              <w:ind w:left="0" w:right="0" w:hanging="0"/>
              <w:jc w:val="center"/>
              <w:rPr/>
            </w:pPr>
            <w:r>
              <w:rPr>
                <w:rStyle w:val="StrongEmphasis"/>
                <w:rFonts w:ascii="times new roman" w:hAnsi="times new roman"/>
                <w:sz w:val="20"/>
              </w:rPr>
              <w:t>2022</w:t>
            </w:r>
          </w:p>
        </w:tc>
        <w:tc>
          <w:tcPr>
            <w:tcW w:w="170" w:type="dxa"/>
            <w:tcBorders/>
            <w:vAlign w:val="center"/>
          </w:tcPr>
          <w:p>
            <w:pPr>
              <w:pStyle w:val="TableContents"/>
              <w:bidi w:val="0"/>
              <w:spacing w:before="0" w:after="0"/>
              <w:ind w:left="0" w:right="0" w:hanging="0"/>
              <w:jc w:val="left"/>
              <w:rPr/>
            </w:pPr>
            <w:r>
              <w:rPr/>
              <w:t> </w:t>
            </w:r>
          </w:p>
        </w:tc>
      </w:tr>
      <w:tr>
        <w:trPr/>
        <w:tc>
          <w:tcPr>
            <w:tcW w:w="67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ind w:left="0" w:right="0" w:hanging="0"/>
              <w:jc w:val="left"/>
              <w:rPr/>
            </w:pPr>
            <w:r>
              <w:rPr/>
              <w:t> </w:t>
            </w:r>
          </w:p>
        </w:tc>
      </w:tr>
      <w:tr>
        <w:trPr/>
        <w:tc>
          <w:tcPr>
            <w:tcW w:w="6740" w:type="dxa"/>
            <w:tcBorders/>
            <w:vAlign w:val="center"/>
          </w:tcPr>
          <w:p>
            <w:pPr>
              <w:pStyle w:val="TableContents"/>
              <w:bidi w:val="0"/>
              <w:spacing w:before="0" w:after="0"/>
              <w:ind w:left="0" w:right="0" w:hanging="0"/>
              <w:jc w:val="center"/>
              <w:rPr/>
            </w:pPr>
            <w:r>
              <w:rPr>
                <w:rStyle w:val="StrongEmphasis"/>
                <w:rFonts w:ascii="times new roman" w:hAnsi="times new roman"/>
                <w:sz w:val="20"/>
              </w:rPr>
              <w:t>ASSETS</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67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Cash and cash equivalents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13,393,573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2,123,682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Prepaid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362,551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738,927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Other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282,583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345,856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Total current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14,038,707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3,208,465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179,503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5,675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7,189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1,117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9,552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14,045,499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3,404,709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center"/>
              <w:rPr/>
            </w:pPr>
            <w:r>
              <w:rPr>
                <w:rStyle w:val="StrongEmphasis"/>
                <w:rFonts w:ascii="times new roman" w:hAnsi="times new roman"/>
                <w:sz w:val="20"/>
              </w:rPr>
              <w:t>LIABILITIES AND STOCKHOLDERS’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Accounts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206,459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448,425</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Accrued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271,633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775,045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Note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345,749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624,302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Total 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823,841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1,847,772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 term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Lease liability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64,196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Total long term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64,196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823,841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1,911,968</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see Note 6</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stock, undesignated, authorized 4,818,654 shares; See Note 7</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Series A Preferred stock, par value $.0001, authorized 259,068 shares; issued and outstanding 210, as of June 30, 2023 and December 31, 2022, respectively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par value $.0001 per share; authorized 400,000,000 shares; issued and outstanding 23,862,434 as of June 30, 2023 and 2,291,809 as of December 31, 2022, respectively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2,386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229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305,274,450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291,034,592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(292,055,178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(289,542,080</w:t>
            </w:r>
          </w:p>
        </w:tc>
        <w:tc>
          <w:tcPr>
            <w:tcW w:w="170" w:type="dxa"/>
            <w:tcBorders/>
            <w:shd w:fill="FFFFFF" w:val="clear"/>
            <w:vAlign w:val="center"/>
          </w:tcPr>
          <w:p>
            <w:pPr>
              <w:pStyle w:val="TableContents"/>
              <w:bidi w:val="0"/>
              <w:spacing w:before="0" w:after="283"/>
              <w:jc w:val="left"/>
              <w:rPr/>
            </w:pPr>
            <w:r>
              <w:rPr/>
              <w:t>)</w:t>
            </w:r>
          </w:p>
        </w:tc>
      </w:tr>
      <w:tr>
        <w:trPr/>
        <w:tc>
          <w:tcPr>
            <w:tcW w:w="67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stockholders’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13,221,658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1,492,741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and stockholders'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14,045,499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3,404,709</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4" w:name="op"/>
      <w:bookmarkEnd w:id="4"/>
      <w:r>
        <w:rPr>
          <w:rStyle w:val="StrongEmphasis"/>
          <w:rFonts w:ascii="times new roman" w:hAnsi="times new roman"/>
          <w:sz w:val="20"/>
        </w:rPr>
        <w:t>TENAX THERAPEUTICS, INC.</w:t>
      </w:r>
    </w:p>
    <w:p>
      <w:pPr>
        <w:pStyle w:val="TextBody"/>
        <w:bidi w:val="0"/>
        <w:spacing w:before="0" w:after="0"/>
        <w:ind w:left="0" w:right="0" w:hanging="0"/>
        <w:jc w:val="center"/>
        <w:rPr/>
      </w:pPr>
      <w:r>
        <w:rPr>
          <w:rStyle w:val="StrongEmphasis"/>
          <w:rFonts w:ascii="times new roman" w:hAnsi="times new roman"/>
          <w:sz w:val="20"/>
        </w:rPr>
        <w:t>CONDENSED CONSOLIDATED STATEMENTS OF OPERATIONS</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340"/>
        <w:gridCol w:w="90"/>
        <w:gridCol w:w="170"/>
        <w:gridCol w:w="1130"/>
        <w:gridCol w:w="125"/>
        <w:gridCol w:w="90"/>
        <w:gridCol w:w="170"/>
        <w:gridCol w:w="1010"/>
        <w:gridCol w:w="125"/>
        <w:gridCol w:w="90"/>
        <w:gridCol w:w="170"/>
        <w:gridCol w:w="1130"/>
        <w:gridCol w:w="125"/>
        <w:gridCol w:w="90"/>
        <w:gridCol w:w="170"/>
        <w:gridCol w:w="1010"/>
        <w:gridCol w:w="170"/>
      </w:tblGrid>
      <w:tr>
        <w:trPr/>
        <w:tc>
          <w:tcPr>
            <w:tcW w:w="43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9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June 30,</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9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170" w:type="dxa"/>
            <w:tcBorders/>
            <w:vAlign w:val="center"/>
          </w:tcPr>
          <w:p>
            <w:pPr>
              <w:pStyle w:val="TableContents"/>
              <w:bidi w:val="0"/>
              <w:spacing w:before="0" w:after="0"/>
              <w:ind w:left="0" w:right="0" w:hanging="0"/>
              <w:jc w:val="left"/>
              <w:rPr/>
            </w:pPr>
            <w:r>
              <w:rPr/>
              <w:t> </w:t>
            </w:r>
          </w:p>
        </w:tc>
      </w:tr>
      <w:tr>
        <w:trPr/>
        <w:tc>
          <w:tcPr>
            <w:tcW w:w="43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70" w:type="dxa"/>
            <w:tcBorders/>
            <w:vAlign w:val="center"/>
          </w:tcPr>
          <w:p>
            <w:pPr>
              <w:pStyle w:val="TableContents"/>
              <w:bidi w:val="0"/>
              <w:spacing w:before="0" w:after="0"/>
              <w:ind w:left="0" w:right="0" w:hanging="0"/>
              <w:jc w:val="left"/>
              <w:rPr/>
            </w:pPr>
            <w:r>
              <w:rPr/>
              <w:t> </w:t>
            </w:r>
          </w:p>
        </w:tc>
      </w:tr>
      <w:tr>
        <w:trPr/>
        <w:tc>
          <w:tcPr>
            <w:tcW w:w="43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43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General and administrative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1,038,257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1,337,427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2,311,987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2,878,171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Research and development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197,903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1,524,465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463,637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2,702,360</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Total 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1,236,160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2,861,892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2,775,624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5,580,531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Net operating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1,236,160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2,861,892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2,775,624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5,580,531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9,126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1,484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16,476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4,071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income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(139,859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(63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(216,136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(178</w:t>
            </w:r>
          </w:p>
        </w:tc>
        <w:tc>
          <w:tcPr>
            <w:tcW w:w="170" w:type="dxa"/>
            <w:tcBorders/>
            <w:shd w:fill="FFFFFF" w:val="clear"/>
            <w:vAlign w:val="center"/>
          </w:tcPr>
          <w:p>
            <w:pPr>
              <w:pStyle w:val="TableContents"/>
              <w:bidi w:val="0"/>
              <w:spacing w:before="0" w:after="283"/>
              <w:jc w:val="left"/>
              <w:rPr/>
            </w:pPr>
            <w:r>
              <w:rPr/>
              <w:t>)</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expense (income), net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911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(2,292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(62,866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(1,867</w:t>
            </w:r>
          </w:p>
        </w:tc>
        <w:tc>
          <w:tcPr>
            <w:tcW w:w="17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1,106,338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2,861,021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2,513,098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5,582,557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basic and diluted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(0.05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(2.27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(0.16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(4.43</w:t>
            </w:r>
          </w:p>
        </w:tc>
        <w:tc>
          <w:tcPr>
            <w:tcW w:w="170" w:type="dxa"/>
            <w:tcBorders/>
            <w:shd w:fill="FFFFFF" w:val="clear"/>
            <w:vAlign w:val="center"/>
          </w:tcPr>
          <w:p>
            <w:pPr>
              <w:pStyle w:val="TableContents"/>
              <w:bidi w:val="0"/>
              <w:spacing w:before="0" w:after="283"/>
              <w:jc w:val="left"/>
              <w:rPr/>
            </w:pPr>
            <w:r>
              <w:rPr/>
              <w:t>)</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outstanding, basic and diluted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22,116,335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1,260,346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15,743,942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1,260,346</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5" w:name="eq"/>
      <w:bookmarkEnd w:id="5"/>
      <w:r>
        <w:rPr>
          <w:rStyle w:val="StrongEmphasis"/>
          <w:rFonts w:ascii="times new roman" w:hAnsi="times new roman"/>
          <w:sz w:val="20"/>
        </w:rPr>
        <w:t>TENAX THERAPEUTICS, INC.</w:t>
      </w:r>
    </w:p>
    <w:p>
      <w:pPr>
        <w:pStyle w:val="TextBody"/>
        <w:bidi w:val="0"/>
        <w:spacing w:before="0" w:after="0"/>
        <w:ind w:left="0" w:right="0" w:hanging="0"/>
        <w:jc w:val="center"/>
        <w:rPr/>
      </w:pPr>
      <w:r>
        <w:rPr>
          <w:rStyle w:val="StrongEmphasis"/>
          <w:rFonts w:ascii="times new roman" w:hAnsi="times new roman"/>
          <w:sz w:val="20"/>
        </w:rPr>
        <w:t>CONDENSED CONSOLIDATED STATEMENTS OF STOCKHOLDERS’ EQUITY</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both"/>
        <w:rPr/>
      </w:pPr>
      <w:r>
        <w:rPr>
          <w:rStyle w:val="StrongEmphasis"/>
        </w:rPr>
        <w:t> </w:t>
      </w:r>
    </w:p>
    <w:tbl>
      <w:tblPr>
        <w:tblW w:w="10320" w:type="dxa"/>
        <w:jc w:val="left"/>
        <w:tblInd w:w="0" w:type="dxa"/>
        <w:tblLayout w:type="fixed"/>
        <w:tblCellMar>
          <w:top w:w="0" w:type="dxa"/>
          <w:left w:w="0" w:type="dxa"/>
          <w:bottom w:w="0" w:type="dxa"/>
          <w:right w:w="0" w:type="dxa"/>
        </w:tblCellMar>
      </w:tblPr>
      <w:tblGrid>
        <w:gridCol w:w="1250"/>
        <w:gridCol w:w="90"/>
        <w:gridCol w:w="223"/>
        <w:gridCol w:w="517"/>
        <w:gridCol w:w="90"/>
        <w:gridCol w:w="90"/>
        <w:gridCol w:w="417"/>
        <w:gridCol w:w="308"/>
        <w:gridCol w:w="90"/>
        <w:gridCol w:w="90"/>
        <w:gridCol w:w="90"/>
        <w:gridCol w:w="1130"/>
        <w:gridCol w:w="90"/>
        <w:gridCol w:w="90"/>
        <w:gridCol w:w="170"/>
        <w:gridCol w:w="590"/>
        <w:gridCol w:w="90"/>
        <w:gridCol w:w="90"/>
        <w:gridCol w:w="170"/>
        <w:gridCol w:w="1250"/>
        <w:gridCol w:w="125"/>
        <w:gridCol w:w="90"/>
        <w:gridCol w:w="170"/>
        <w:gridCol w:w="1325"/>
        <w:gridCol w:w="125"/>
        <w:gridCol w:w="90"/>
        <w:gridCol w:w="170"/>
        <w:gridCol w:w="1130"/>
        <w:gridCol w:w="170"/>
      </w:tblGrid>
      <w:tr>
        <w:trPr/>
        <w:tc>
          <w:tcPr>
            <w:tcW w:w="1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4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Preferred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16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Common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Additional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Total </w:t>
            </w:r>
          </w:p>
        </w:tc>
        <w:tc>
          <w:tcPr>
            <w:tcW w:w="170" w:type="dxa"/>
            <w:tcBorders/>
            <w:vAlign w:val="center"/>
          </w:tcPr>
          <w:p>
            <w:pPr>
              <w:pStyle w:val="TableContents"/>
              <w:bidi w:val="0"/>
              <w:spacing w:before="0" w:after="0"/>
              <w:ind w:left="0" w:right="0" w:hanging="0"/>
              <w:jc w:val="left"/>
              <w:rPr/>
            </w:pPr>
            <w:r>
              <w:rPr/>
              <w:t> </w:t>
            </w:r>
          </w:p>
        </w:tc>
      </w:tr>
      <w:tr>
        <w:trPr/>
        <w:tc>
          <w:tcPr>
            <w:tcW w:w="1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 Shares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 Shares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paid-in </w:t>
            </w:r>
          </w:p>
          <w:p>
            <w:pPr>
              <w:pStyle w:val="TableContents"/>
              <w:bidi w:val="0"/>
              <w:spacing w:before="0" w:after="0"/>
              <w:ind w:left="0" w:right="0" w:hanging="0"/>
              <w:jc w:val="center"/>
              <w:rPr/>
            </w:pPr>
            <w:r>
              <w:rPr>
                <w:rStyle w:val="StrongEmphasis"/>
                <w:rFonts w:ascii="times new roman" w:hAnsi="times new roman"/>
                <w:sz w:val="20"/>
              </w:rPr>
              <w:t>capital</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Accumulated </w:t>
            </w:r>
          </w:p>
          <w:p>
            <w:pPr>
              <w:pStyle w:val="TableContents"/>
              <w:bidi w:val="0"/>
              <w:spacing w:before="0" w:after="0"/>
              <w:ind w:left="0" w:right="0" w:hanging="0"/>
              <w:jc w:val="center"/>
              <w:rPr/>
            </w:pPr>
            <w:r>
              <w:rPr>
                <w:rStyle w:val="StrongEmphasis"/>
                <w:rFonts w:ascii="times new roman" w:hAnsi="times new roman"/>
                <w:sz w:val="20"/>
              </w:rPr>
              <w:t xml:space="preserve">deficit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stockholders' </w:t>
            </w:r>
          </w:p>
          <w:p>
            <w:pPr>
              <w:pStyle w:val="TableContents"/>
              <w:bidi w:val="0"/>
              <w:spacing w:before="0" w:after="0"/>
              <w:ind w:left="0" w:right="0" w:hanging="0"/>
              <w:jc w:val="center"/>
              <w:rPr/>
            </w:pPr>
            <w:r>
              <w:rPr>
                <w:rStyle w:val="StrongEmphasis"/>
                <w:rFonts w:ascii="times new roman" w:hAnsi="times new roman"/>
                <w:sz w:val="20"/>
              </w:rPr>
              <w:t>equity</w:t>
            </w:r>
          </w:p>
        </w:tc>
        <w:tc>
          <w:tcPr>
            <w:tcW w:w="170" w:type="dxa"/>
            <w:tcBorders/>
            <w:vAlign w:val="center"/>
          </w:tcPr>
          <w:p>
            <w:pPr>
              <w:pStyle w:val="TableContents"/>
              <w:bidi w:val="0"/>
              <w:spacing w:before="0" w:after="0"/>
              <w:ind w:left="0" w:right="0" w:hanging="0"/>
              <w:jc w:val="left"/>
              <w:rPr/>
            </w:pPr>
            <w:r>
              <w:rPr/>
              <w:t> </w:t>
            </w:r>
          </w:p>
        </w:tc>
      </w:tr>
      <w:tr>
        <w:trPr/>
        <w:tc>
          <w:tcPr>
            <w:tcW w:w="1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 at December 31, 2021</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283"/>
              <w:jc w:val="right"/>
              <w:rPr/>
            </w:pPr>
            <w:r>
              <w:rPr>
                <w:rStyle w:val="StrongEmphasis"/>
              </w:rPr>
              <w:t>210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283"/>
              <w:jc w:val="left"/>
              <w:rPr/>
            </w:pPr>
            <w:r>
              <w:rPr>
                <w:rStyle w:val="StrongEmphasis"/>
              </w:rPr>
              <w:t>$</w:t>
            </w:r>
          </w:p>
        </w:tc>
        <w:tc>
          <w:tcPr>
            <w:tcW w:w="308"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rStyle w:val="StrongEmphasis"/>
              </w:rPr>
              <w:t>1,260,346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590" w:type="dxa"/>
            <w:tcBorders/>
            <w:shd w:fill="CCEEFF" w:val="clear"/>
            <w:vAlign w:val="center"/>
          </w:tcPr>
          <w:p>
            <w:pPr>
              <w:pStyle w:val="TableContents"/>
              <w:bidi w:val="0"/>
              <w:spacing w:before="0" w:after="283"/>
              <w:jc w:val="right"/>
              <w:rPr/>
            </w:pPr>
            <w:r>
              <w:rPr>
                <w:rStyle w:val="StrongEmphasis"/>
              </w:rPr>
              <w:t>126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1250" w:type="dxa"/>
            <w:tcBorders/>
            <w:shd w:fill="CCEEFF" w:val="clear"/>
            <w:vAlign w:val="center"/>
          </w:tcPr>
          <w:p>
            <w:pPr>
              <w:pStyle w:val="TableContents"/>
              <w:bidi w:val="0"/>
              <w:spacing w:before="0" w:after="283"/>
              <w:jc w:val="right"/>
              <w:rPr/>
            </w:pPr>
            <w:r>
              <w:rPr>
                <w:rStyle w:val="StrongEmphasis"/>
              </w:rPr>
              <w:t>282,738,727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1325" w:type="dxa"/>
            <w:tcBorders/>
            <w:shd w:fill="CCEEFF" w:val="clear"/>
            <w:vAlign w:val="center"/>
          </w:tcPr>
          <w:p>
            <w:pPr>
              <w:pStyle w:val="TableContents"/>
              <w:bidi w:val="0"/>
              <w:spacing w:before="0" w:after="283"/>
              <w:jc w:val="right"/>
              <w:rPr/>
            </w:pPr>
            <w:r>
              <w:rPr>
                <w:rStyle w:val="StrongEmphasis"/>
              </w:rPr>
              <w:t>(278,494,185</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1130" w:type="dxa"/>
            <w:tcBorders/>
            <w:shd w:fill="CCEEFF" w:val="clear"/>
            <w:vAlign w:val="center"/>
          </w:tcPr>
          <w:p>
            <w:pPr>
              <w:pStyle w:val="TableContents"/>
              <w:bidi w:val="0"/>
              <w:spacing w:before="0" w:after="283"/>
              <w:jc w:val="right"/>
              <w:rPr/>
            </w:pPr>
            <w:r>
              <w:rPr>
                <w:rStyle w:val="StrongEmphasis"/>
              </w:rPr>
              <w:t>4,244,668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Compensation on options issued</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left"/>
              <w:rPr/>
            </w:pPr>
            <w:r>
              <w:rPr/>
              <w:t> </w:t>
            </w:r>
          </w:p>
        </w:tc>
        <w:tc>
          <w:tcPr>
            <w:tcW w:w="3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83,069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83,069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(2,721,536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(2,721,536</w:t>
            </w:r>
          </w:p>
        </w:tc>
        <w:tc>
          <w:tcPr>
            <w:tcW w:w="170" w:type="dxa"/>
            <w:tcBorders/>
            <w:shd w:fill="CCEEFF" w:val="clear"/>
            <w:vAlign w:val="center"/>
          </w:tcPr>
          <w:p>
            <w:pPr>
              <w:pStyle w:val="TableContents"/>
              <w:bidi w:val="0"/>
              <w:spacing w:before="0" w:after="283"/>
              <w:jc w:val="left"/>
              <w:rPr/>
            </w:pPr>
            <w:r>
              <w:rPr/>
              <w:t>)</w:t>
            </w:r>
          </w:p>
        </w:tc>
      </w:tr>
      <w:tr>
        <w:trPr/>
        <w:tc>
          <w:tcPr>
            <w:tcW w:w="1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Balance at March 31, 2022</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1,260,346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126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282,821,796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(281,215,721</w:t>
            </w:r>
          </w:p>
        </w:tc>
        <w:tc>
          <w:tcPr>
            <w:tcW w:w="125" w:type="dxa"/>
            <w:tcBorders/>
            <w:shd w:fill="FFFFFF" w:val="clear"/>
            <w:vAlign w:val="center"/>
          </w:tcPr>
          <w:p>
            <w:pPr>
              <w:pStyle w:val="TableContents"/>
              <w:bidi w:val="0"/>
              <w:spacing w:before="0" w:after="283"/>
              <w:jc w:val="lef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1,606,201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Pre-funded warrants and warrants sold, net of offering costs</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left"/>
              <w:rPr/>
            </w:pPr>
            <w:r>
              <w:rPr/>
              <w:t> </w:t>
            </w:r>
          </w:p>
        </w:tc>
        <w:tc>
          <w:tcPr>
            <w:tcW w:w="308"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7,928,591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rStyle w:val="StrongEmphasis"/>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7,928,591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Compensation oin options issued</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left"/>
              <w:rPr/>
            </w:pPr>
            <w:r>
              <w:rPr/>
              <w:t> </w:t>
            </w:r>
          </w:p>
        </w:tc>
        <w:tc>
          <w:tcPr>
            <w:tcW w:w="3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110,031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110,031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(2,861,021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(2,861,021</w:t>
            </w:r>
          </w:p>
        </w:tc>
        <w:tc>
          <w:tcPr>
            <w:tcW w:w="170" w:type="dxa"/>
            <w:tcBorders/>
            <w:shd w:fill="CCEEFF" w:val="clear"/>
            <w:vAlign w:val="center"/>
          </w:tcPr>
          <w:p>
            <w:pPr>
              <w:pStyle w:val="TableContents"/>
              <w:bidi w:val="0"/>
              <w:spacing w:before="0" w:after="283"/>
              <w:jc w:val="left"/>
              <w:rPr/>
            </w:pPr>
            <w:r>
              <w:rPr/>
              <w:t>)</w:t>
            </w:r>
          </w:p>
        </w:tc>
      </w:tr>
      <w:tr>
        <w:trPr/>
        <w:tc>
          <w:tcPr>
            <w:tcW w:w="1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Balance at June 30, 2022</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1,260,346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126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290,860,418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(284,076,742</w:t>
            </w:r>
          </w:p>
        </w:tc>
        <w:tc>
          <w:tcPr>
            <w:tcW w:w="125" w:type="dxa"/>
            <w:tcBorders/>
            <w:shd w:fill="FFFFFF" w:val="clear"/>
            <w:vAlign w:val="center"/>
          </w:tcPr>
          <w:p>
            <w:pPr>
              <w:pStyle w:val="TableContents"/>
              <w:bidi w:val="0"/>
              <w:spacing w:before="0" w:after="283"/>
              <w:jc w:val="lef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6,783,802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283"/>
              <w:jc w:val="right"/>
              <w:rPr/>
            </w:pPr>
            <w:r>
              <w:rPr>
                <w:rStyle w:val="StrongEmphasis"/>
              </w:rPr>
              <w:t>210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283"/>
              <w:jc w:val="left"/>
              <w:rPr/>
            </w:pPr>
            <w:r>
              <w:rPr>
                <w:rStyle w:val="StrongEmphasis"/>
              </w:rPr>
              <w:t>$</w:t>
            </w:r>
          </w:p>
        </w:tc>
        <w:tc>
          <w:tcPr>
            <w:tcW w:w="308"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rStyle w:val="StrongEmphasis"/>
              </w:rPr>
              <w:t>2,291,809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590" w:type="dxa"/>
            <w:tcBorders/>
            <w:shd w:fill="CCEEFF" w:val="clear"/>
            <w:vAlign w:val="center"/>
          </w:tcPr>
          <w:p>
            <w:pPr>
              <w:pStyle w:val="TableContents"/>
              <w:bidi w:val="0"/>
              <w:spacing w:before="0" w:after="283"/>
              <w:jc w:val="right"/>
              <w:rPr/>
            </w:pPr>
            <w:r>
              <w:rPr>
                <w:rStyle w:val="StrongEmphasis"/>
              </w:rPr>
              <w:t>230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1250" w:type="dxa"/>
            <w:tcBorders/>
            <w:shd w:fill="CCEEFF" w:val="clear"/>
            <w:vAlign w:val="center"/>
          </w:tcPr>
          <w:p>
            <w:pPr>
              <w:pStyle w:val="TableContents"/>
              <w:bidi w:val="0"/>
              <w:spacing w:before="0" w:after="283"/>
              <w:jc w:val="right"/>
              <w:rPr/>
            </w:pPr>
            <w:r>
              <w:rPr>
                <w:rStyle w:val="StrongEmphasis"/>
              </w:rPr>
              <w:t>291,034,591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1325" w:type="dxa"/>
            <w:tcBorders/>
            <w:shd w:fill="CCEEFF" w:val="clear"/>
            <w:vAlign w:val="center"/>
          </w:tcPr>
          <w:p>
            <w:pPr>
              <w:pStyle w:val="TableContents"/>
              <w:bidi w:val="0"/>
              <w:spacing w:before="0" w:after="283"/>
              <w:jc w:val="right"/>
              <w:rPr/>
            </w:pPr>
            <w:r>
              <w:rPr>
                <w:rStyle w:val="StrongEmphasis"/>
              </w:rPr>
              <w:t>(289,542,080</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1130" w:type="dxa"/>
            <w:tcBorders/>
            <w:shd w:fill="CCEEFF" w:val="clear"/>
            <w:vAlign w:val="center"/>
          </w:tcPr>
          <w:p>
            <w:pPr>
              <w:pStyle w:val="TableContents"/>
              <w:bidi w:val="0"/>
              <w:spacing w:before="0" w:after="283"/>
              <w:jc w:val="right"/>
              <w:rPr/>
            </w:pPr>
            <w:r>
              <w:rPr>
                <w:rStyle w:val="StrongEmphasis"/>
              </w:rPr>
              <w:t>1,492,741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Public offering sale of common stock and warrants, net of offering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left"/>
              <w:rPr/>
            </w:pPr>
            <w:r>
              <w:rPr/>
              <w:t> </w:t>
            </w:r>
          </w:p>
        </w:tc>
        <w:tc>
          <w:tcPr>
            <w:tcW w:w="308"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6,959,444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696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13,895,829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rStyle w:val="StrongEmphasis"/>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13,896,525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Offering costs</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left"/>
              <w:rPr/>
            </w:pPr>
            <w:r>
              <w:rPr/>
              <w:t> </w:t>
            </w:r>
          </w:p>
        </w:tc>
        <w:tc>
          <w:tcPr>
            <w:tcW w:w="308"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(282,647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rStyle w:val="StrongEmphasis"/>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(282,647</w:t>
            </w:r>
          </w:p>
        </w:tc>
        <w:tc>
          <w:tcPr>
            <w:tcW w:w="170" w:type="dxa"/>
            <w:tcBorders/>
            <w:shd w:fill="CCEEFF" w:val="clear"/>
            <w:vAlign w:val="center"/>
          </w:tcPr>
          <w:p>
            <w:pPr>
              <w:pStyle w:val="TableContents"/>
              <w:bidi w:val="0"/>
              <w:spacing w:before="0" w:after="283"/>
              <w:jc w:val="left"/>
              <w:rPr/>
            </w:pPr>
            <w:r>
              <w:rPr/>
              <w:t>)</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pre-funded warrants for cash</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left"/>
              <w:rPr/>
            </w:pPr>
            <w:r>
              <w:rPr/>
              <w:t> </w:t>
            </w:r>
          </w:p>
        </w:tc>
        <w:tc>
          <w:tcPr>
            <w:tcW w:w="308"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1,446,110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145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511,166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rStyle w:val="StrongEmphasis"/>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511,311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pre-funded warrants, cashless</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left"/>
              <w:rPr/>
            </w:pPr>
            <w:r>
              <w:rPr/>
              <w:t> </w:t>
            </w:r>
          </w:p>
        </w:tc>
        <w:tc>
          <w:tcPr>
            <w:tcW w:w="308"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260,722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26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rStyle w:val="StrongEmphasis"/>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warrants, cashless</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left"/>
              <w:rPr/>
            </w:pPr>
            <w:r>
              <w:rPr/>
              <w:t> </w:t>
            </w:r>
          </w:p>
        </w:tc>
        <w:tc>
          <w:tcPr>
            <w:tcW w:w="308"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10,805,503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1,081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(1,081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rStyle w:val="StrongEmphasis"/>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 split and fractional shares issued</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left"/>
              <w:rPr/>
            </w:pPr>
            <w:r>
              <w:rPr/>
              <w:t> </w:t>
            </w:r>
          </w:p>
        </w:tc>
        <w:tc>
          <w:tcPr>
            <w:tcW w:w="308"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13,846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rStyle w:val="StrongEmphasis"/>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Compensation on options issued</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left"/>
              <w:rPr/>
            </w:pPr>
            <w:r>
              <w:rPr/>
              <w:t> </w:t>
            </w:r>
          </w:p>
        </w:tc>
        <w:tc>
          <w:tcPr>
            <w:tcW w:w="308"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66,543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rStyle w:val="StrongEmphasis"/>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66,543</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(1,406,760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(1,406,760</w:t>
            </w:r>
          </w:p>
        </w:tc>
        <w:tc>
          <w:tcPr>
            <w:tcW w:w="170" w:type="dxa"/>
            <w:tcBorders/>
            <w:shd w:fill="CCEEFF" w:val="clear"/>
            <w:vAlign w:val="center"/>
          </w:tcPr>
          <w:p>
            <w:pPr>
              <w:pStyle w:val="TableContents"/>
              <w:bidi w:val="0"/>
              <w:spacing w:before="0" w:after="283"/>
              <w:jc w:val="left"/>
              <w:rPr/>
            </w:pPr>
            <w:r>
              <w:rPr/>
              <w:t>)</w:t>
            </w:r>
          </w:p>
        </w:tc>
      </w:tr>
      <w:tr>
        <w:trPr/>
        <w:tc>
          <w:tcPr>
            <w:tcW w:w="1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Balance at March 31, 2023</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21,777,434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2,178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305,224,375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(290,948,840</w:t>
            </w:r>
          </w:p>
        </w:tc>
        <w:tc>
          <w:tcPr>
            <w:tcW w:w="125" w:type="dxa"/>
            <w:tcBorders/>
            <w:shd w:fill="FFFFFF" w:val="clear"/>
            <w:vAlign w:val="center"/>
          </w:tcPr>
          <w:p>
            <w:pPr>
              <w:pStyle w:val="TableContents"/>
              <w:bidi w:val="0"/>
              <w:spacing w:before="0" w:after="283"/>
              <w:jc w:val="lef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14,277,713</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warrants, cashless</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left"/>
              <w:rPr/>
            </w:pPr>
            <w:r>
              <w:rPr/>
              <w:t> </w:t>
            </w:r>
          </w:p>
        </w:tc>
        <w:tc>
          <w:tcPr>
            <w:tcW w:w="308"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2,085,000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208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(208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Compensation on options issued</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shd w:fill="FFFFFF" w:val="clear"/>
            <w:vAlign w:val="center"/>
          </w:tcPr>
          <w:p>
            <w:pPr>
              <w:pStyle w:val="TableContents"/>
              <w:bidi w:val="0"/>
              <w:spacing w:before="0" w:after="0"/>
              <w:ind w:left="0" w:right="0" w:hanging="0"/>
              <w:jc w:val="left"/>
              <w:rPr/>
            </w:pPr>
            <w:r>
              <w:rPr/>
              <w:t> </w:t>
            </w:r>
          </w:p>
        </w:tc>
        <w:tc>
          <w:tcPr>
            <w:tcW w:w="3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50,283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50,283</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(1,106,338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(1,106,338</w:t>
            </w:r>
          </w:p>
        </w:tc>
        <w:tc>
          <w:tcPr>
            <w:tcW w:w="170" w:type="dxa"/>
            <w:tcBorders/>
            <w:shd w:fill="CCEEFF" w:val="clear"/>
            <w:vAlign w:val="center"/>
          </w:tcPr>
          <w:p>
            <w:pPr>
              <w:pStyle w:val="TableContents"/>
              <w:bidi w:val="0"/>
              <w:spacing w:before="0" w:after="283"/>
              <w:jc w:val="left"/>
              <w:rPr/>
            </w:pPr>
            <w:r>
              <w:rPr/>
              <w:t>)</w:t>
            </w:r>
          </w:p>
        </w:tc>
      </w:tr>
      <w:tr>
        <w:trPr/>
        <w:tc>
          <w:tcPr>
            <w:tcW w:w="1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Balance at June 30, 2023</w:t>
            </w:r>
          </w:p>
        </w:tc>
        <w:tc>
          <w:tcPr>
            <w:tcW w:w="90" w:type="dxa"/>
            <w:tcBorders/>
            <w:shd w:fill="FFFFFF" w:val="clear"/>
            <w:vAlign w:val="center"/>
          </w:tcPr>
          <w:p>
            <w:pPr>
              <w:pStyle w:val="TableContents"/>
              <w:bidi w:val="0"/>
              <w:spacing w:before="0" w:after="0"/>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23,862,434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2,386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305,274,450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(292,055,178</w:t>
            </w:r>
          </w:p>
        </w:tc>
        <w:tc>
          <w:tcPr>
            <w:tcW w:w="125" w:type="dxa"/>
            <w:tcBorders/>
            <w:shd w:fill="FFFFFF" w:val="clear"/>
            <w:vAlign w:val="center"/>
          </w:tcPr>
          <w:p>
            <w:pPr>
              <w:pStyle w:val="TableContents"/>
              <w:bidi w:val="0"/>
              <w:spacing w:before="0" w:after="283"/>
              <w:jc w:val="lef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13,221,658</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6" w:name="cf"/>
      <w:bookmarkEnd w:id="6"/>
      <w:r>
        <w:rPr>
          <w:rStyle w:val="StrongEmphasis"/>
          <w:rFonts w:ascii="times new roman" w:hAnsi="times new roman"/>
          <w:sz w:val="20"/>
        </w:rPr>
        <w:t>TENAX THERAPEUTICS, INC.</w:t>
      </w:r>
    </w:p>
    <w:p>
      <w:pPr>
        <w:pStyle w:val="TextBody"/>
        <w:bidi w:val="0"/>
        <w:spacing w:before="0" w:after="0"/>
        <w:ind w:left="0" w:right="0" w:hanging="0"/>
        <w:jc w:val="center"/>
        <w:rPr/>
      </w:pPr>
      <w:r>
        <w:rPr>
          <w:rStyle w:val="StrongEmphasis"/>
          <w:rFonts w:ascii="times new roman" w:hAnsi="times new roman"/>
          <w:sz w:val="20"/>
        </w:rPr>
        <w:t>CONDENSED CONSOLIDATED STATEMENTS OF CASH FLOWS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175"/>
        <w:gridCol w:w="90"/>
        <w:gridCol w:w="170"/>
        <w:gridCol w:w="1130"/>
        <w:gridCol w:w="125"/>
        <w:gridCol w:w="90"/>
        <w:gridCol w:w="170"/>
        <w:gridCol w:w="1085"/>
        <w:gridCol w:w="170"/>
      </w:tblGrid>
      <w:tr>
        <w:trPr/>
        <w:tc>
          <w:tcPr>
            <w:tcW w:w="71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Six months ended June 30, </w:t>
            </w:r>
          </w:p>
        </w:tc>
        <w:tc>
          <w:tcPr>
            <w:tcW w:w="170" w:type="dxa"/>
            <w:tcBorders/>
            <w:vAlign w:val="center"/>
          </w:tcPr>
          <w:p>
            <w:pPr>
              <w:pStyle w:val="TableContents"/>
              <w:bidi w:val="0"/>
              <w:spacing w:before="0" w:after="0"/>
              <w:ind w:left="0" w:right="0" w:hanging="0"/>
              <w:jc w:val="left"/>
              <w:rPr/>
            </w:pPr>
            <w:r>
              <w:rPr/>
              <w:t> </w:t>
            </w:r>
          </w:p>
        </w:tc>
      </w:tr>
      <w:tr>
        <w:trPr/>
        <w:tc>
          <w:tcPr>
            <w:tcW w:w="71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70" w:type="dxa"/>
            <w:tcBorders/>
            <w:vAlign w:val="center"/>
          </w:tcPr>
          <w:p>
            <w:pPr>
              <w:pStyle w:val="TableContents"/>
              <w:bidi w:val="0"/>
              <w:spacing w:before="0" w:after="0"/>
              <w:ind w:left="0" w:right="0" w:hanging="0"/>
              <w:jc w:val="left"/>
              <w:rPr/>
            </w:pPr>
            <w:r>
              <w:rPr/>
              <w:t> </w:t>
            </w:r>
          </w:p>
        </w:tc>
      </w:tr>
      <w:tr>
        <w:trPr/>
        <w:tc>
          <w:tcPr>
            <w:tcW w:w="71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70" w:type="dxa"/>
            <w:tcBorders/>
            <w:vAlign w:val="center"/>
          </w:tcPr>
          <w:p>
            <w:pPr>
              <w:pStyle w:val="TableContents"/>
              <w:bidi w:val="0"/>
              <w:spacing w:before="0" w:after="0"/>
              <w:ind w:left="0" w:right="0" w:hanging="0"/>
              <w:jc w:val="left"/>
              <w:rPr/>
            </w:pPr>
            <w:r>
              <w:rPr/>
              <w:t> </w:t>
            </w:r>
          </w:p>
        </w:tc>
      </w:tr>
      <w:tr>
        <w:trPr/>
        <w:tc>
          <w:tcPr>
            <w:tcW w:w="71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71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(2,513,098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(5,582,557</w:t>
            </w:r>
          </w:p>
        </w:tc>
        <w:tc>
          <w:tcPr>
            <w:tcW w:w="170" w:type="dxa"/>
            <w:tcBorders/>
            <w:shd w:fill="CCEEFF" w:val="clear"/>
            <w:vAlign w:val="center"/>
          </w:tcPr>
          <w:p>
            <w:pPr>
              <w:pStyle w:val="TableContents"/>
              <w:bidi w:val="0"/>
              <w:spacing w:before="0" w:after="283"/>
              <w:jc w:val="left"/>
              <w:rPr/>
            </w:pPr>
            <w:r>
              <w:rPr/>
              <w:t>)</w:t>
            </w:r>
          </w:p>
        </w:tc>
      </w:tr>
      <w:tr>
        <w:trPr/>
        <w:tc>
          <w:tcPr>
            <w:tcW w:w="7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Depreciation and amortization</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1,895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2,588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Interest on debt instrument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12,906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4,071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Amortization of right of 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53,029</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Gain on sale of equipment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1,125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Issuance and vesting of compensatory stock options and warrants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116,826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193,100</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Accounts receivable, prepaid expenses and 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439,649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(771,355</w:t>
            </w:r>
          </w:p>
        </w:tc>
        <w:tc>
          <w:tcPr>
            <w:tcW w:w="170" w:type="dxa"/>
            <w:tcBorders/>
            <w:shd w:fill="CCEEFF" w:val="clear"/>
            <w:vAlign w:val="center"/>
          </w:tcPr>
          <w:p>
            <w:pPr>
              <w:pStyle w:val="TableContents"/>
              <w:bidi w:val="0"/>
              <w:spacing w:before="0" w:after="283"/>
              <w:jc w:val="left"/>
              <w:rPr/>
            </w:pPr>
            <w:r>
              <w:rPr/>
              <w:t>)</w:t>
            </w:r>
          </w:p>
        </w:tc>
      </w:tr>
      <w:tr>
        <w:trPr/>
        <w:tc>
          <w:tcPr>
            <w:tcW w:w="717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Accounts payable and accrued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(707,141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(210,056</w:t>
            </w:r>
          </w:p>
        </w:tc>
        <w:tc>
          <w:tcPr>
            <w:tcW w:w="170" w:type="dxa"/>
            <w:tcBorders/>
            <w:shd w:fill="FFFFFF" w:val="clear"/>
            <w:vAlign w:val="center"/>
          </w:tcPr>
          <w:p>
            <w:pPr>
              <w:pStyle w:val="TableContents"/>
              <w:bidi w:val="0"/>
              <w:spacing w:before="0" w:after="283"/>
              <w:jc w:val="left"/>
              <w:rPr/>
            </w:pPr>
            <w:r>
              <w:rPr/>
              <w:t>)</w:t>
            </w:r>
          </w:p>
        </w:tc>
      </w:tr>
      <w:tr>
        <w:trPr/>
        <w:tc>
          <w:tcPr>
            <w:tcW w:w="717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Long term portion of lease liability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(57,706</w:t>
            </w:r>
          </w:p>
        </w:tc>
        <w:tc>
          <w:tcPr>
            <w:tcW w:w="170" w:type="dxa"/>
            <w:tcBorders/>
            <w:shd w:fill="CCEEFF" w:val="clear"/>
            <w:vAlign w:val="center"/>
          </w:tcPr>
          <w:p>
            <w:pPr>
              <w:pStyle w:val="TableContents"/>
              <w:bidi w:val="0"/>
              <w:spacing w:before="0" w:after="283"/>
              <w:jc w:val="left"/>
              <w:rPr/>
            </w:pPr>
            <w:r>
              <w:rPr/>
              <w:t>)</w:t>
            </w:r>
          </w:p>
        </w:tc>
      </w:tr>
      <w:tr>
        <w:trPr/>
        <w:tc>
          <w:tcPr>
            <w:tcW w:w="7175" w:type="dxa"/>
            <w:tcBorders/>
            <w:shd w:fill="FFFF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Net cash used in operating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(2,647,838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(6,368,886</w:t>
            </w:r>
          </w:p>
        </w:tc>
        <w:tc>
          <w:tcPr>
            <w:tcW w:w="170" w:type="dxa"/>
            <w:tcBorders/>
            <w:shd w:fill="FFFFFF" w:val="clear"/>
            <w:vAlign w:val="center"/>
          </w:tcPr>
          <w:p>
            <w:pPr>
              <w:pStyle w:val="TableContents"/>
              <w:bidi w:val="0"/>
              <w:spacing w:before="0" w:after="283"/>
              <w:jc w:val="left"/>
              <w:rPr/>
            </w:pPr>
            <w:r>
              <w:rPr/>
              <w:t>)</w:t>
            </w:r>
          </w:p>
        </w:tc>
      </w:tr>
      <w:tr>
        <w:trPr/>
        <w:tc>
          <w:tcPr>
            <w:tcW w:w="717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proceeds from sale of property and equipment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2,843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(6,323</w:t>
            </w:r>
          </w:p>
        </w:tc>
        <w:tc>
          <w:tcPr>
            <w:tcW w:w="170" w:type="dxa"/>
            <w:tcBorders/>
            <w:shd w:fill="CCEEFF" w:val="clear"/>
            <w:vAlign w:val="center"/>
          </w:tcPr>
          <w:p>
            <w:pPr>
              <w:pStyle w:val="TableContents"/>
              <w:bidi w:val="0"/>
              <w:spacing w:before="0" w:after="283"/>
              <w:jc w:val="left"/>
              <w:rPr/>
            </w:pPr>
            <w:r>
              <w:rPr/>
              <w:t>)</w:t>
            </w:r>
          </w:p>
        </w:tc>
      </w:tr>
      <w:tr>
        <w:trPr/>
        <w:tc>
          <w:tcPr>
            <w:tcW w:w="7175" w:type="dxa"/>
            <w:tcBorders/>
            <w:shd w:fill="FFFF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Net cash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2,843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(6,323</w:t>
            </w:r>
          </w:p>
        </w:tc>
        <w:tc>
          <w:tcPr>
            <w:tcW w:w="170" w:type="dxa"/>
            <w:tcBorders/>
            <w:shd w:fill="FFFFFF" w:val="clear"/>
            <w:vAlign w:val="center"/>
          </w:tcPr>
          <w:p>
            <w:pPr>
              <w:pStyle w:val="TableContents"/>
              <w:bidi w:val="0"/>
              <w:spacing w:before="0" w:after="283"/>
              <w:jc w:val="left"/>
              <w:rPr/>
            </w:pPr>
            <w:r>
              <w:rPr/>
              <w:t>)</w:t>
            </w:r>
          </w:p>
        </w:tc>
      </w:tr>
      <w:tr>
        <w:trPr/>
        <w:tc>
          <w:tcPr>
            <w:tcW w:w="717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issuance of common stock, warrants and pre-funded warrants, net of issuance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14,193,439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7,928,591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the issuance of note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364,546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Payments on short-term note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(278,553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(272,671</w:t>
            </w:r>
          </w:p>
        </w:tc>
        <w:tc>
          <w:tcPr>
            <w:tcW w:w="170" w:type="dxa"/>
            <w:tcBorders/>
            <w:shd w:fill="CCEEFF" w:val="clear"/>
            <w:vAlign w:val="center"/>
          </w:tcPr>
          <w:p>
            <w:pPr>
              <w:pStyle w:val="TableContents"/>
              <w:bidi w:val="0"/>
              <w:spacing w:before="0" w:after="283"/>
              <w:jc w:val="left"/>
              <w:rPr/>
            </w:pPr>
            <w:r>
              <w:rPr/>
              <w:t>)</w:t>
            </w:r>
          </w:p>
        </w:tc>
      </w:tr>
      <w:tr>
        <w:trPr/>
        <w:tc>
          <w:tcPr>
            <w:tcW w:w="7175" w:type="dxa"/>
            <w:tcBorders/>
            <w:shd w:fill="FFFFFF" w:val="clear"/>
            <w:vAlign w:val="center"/>
          </w:tcPr>
          <w:p>
            <w:pPr>
              <w:pStyle w:val="TableContents"/>
              <w:bidi w:val="0"/>
              <w:spacing w:before="0" w:after="0"/>
              <w:ind w:left="450" w:right="0" w:hanging="0"/>
              <w:jc w:val="left"/>
              <w:rPr>
                <w:rFonts w:ascii="times new roman" w:hAnsi="times new roman"/>
                <w:sz w:val="20"/>
              </w:rPr>
            </w:pPr>
            <w:r>
              <w:rPr>
                <w:rFonts w:ascii="times new roman" w:hAnsi="times new roman"/>
                <w:sz w:val="20"/>
              </w:rPr>
              <w:t>Net cash provided by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13,914,886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8,020,466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11,269,891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jc w:val="right"/>
              <w:rPr/>
            </w:pPr>
            <w:r>
              <w:rPr/>
              <w:t>1,645,257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beginning of period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2,123,682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5,583,922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end of period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13,393,573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pPr>
            <w:r>
              <w:rPr/>
              <w:t>7,229,179</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7" w:name="n"/>
      <w:bookmarkEnd w:id="7"/>
      <w:r>
        <w:rPr>
          <w:rStyle w:val="StrongEmphasis"/>
          <w:rFonts w:ascii="times new roman" w:hAnsi="times new roman"/>
          <w:sz w:val="20"/>
        </w:rPr>
        <w:t>TENAX THERAPEUTICS, INC.</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NOTES TO CONDENSED CONSOLIDATED FINANCIAL STATEMENTS</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rStyle w:val="StrongEmphasis"/>
          <w:rFonts w:ascii="times new roman" w:hAnsi="times new roman"/>
          <w:sz w:val="20"/>
        </w:rPr>
        <w:t>NOTE 1. DESCRIPTION OF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November 13, 2013, the Company, through its wholly-owned subsidiary, Life Newco, Inc., a Delaware corporation (“Life NewCo”),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sublicenseable right to develop and commercialize pharmaceutical products containing levosimendan, 2.5 mg/ml concentrate for solution for infusion / 5ml vial in the United States and Canada (the “Territory”). On October 9, 2020 and January 25, 2022, the Company amended the license (as amended, the “License”), to include two new oral product dose forms containing levosimendan in capsule and solid dosage form, and a subcutaneously administered product containing levosimendan, subject to certain limitations (together, the “Product”).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one or two upcoming Phase 3 studies in pulmonary hypertension patients utilizing one of these oral formulations. See “Note 6 - Commitments and Contingencies” below for a further discussion of the License.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January 15, 2021, the Company, Life Newco II, Inc., a Delaware corporation and a wholly-owned, subsidiary of the Company (“Life Newco II”), PHPrecisionMed Inc., a Delaware corporation (“PHPM”) and Dr. Stuart Rich, solely in his capacity as holders’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wholly-owned subsidiary of the Company.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Going Concern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Management believes the accompanying unaudited condensed consolidated financial statements have been prepared in conformity with accounting principles generally accepted in the United States of America (“GAAP”), which contemplate continuation of the Company as a going concern. The Company has an accumulated deficit of approximately $292.1 million and $284.1 million on June 30, 2023 and 2022, respectively, and used cash in operations of approximately $2.6 million and $6.4 million during the six months ended June 30, 2023 and 2022,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view of the matters described above, recoverability of a major portion of the recorded asset amounts shown in the accompanying June 30, 2023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2. SUMMARY OF SIGNIFICANT ACCOUNTING POLICIES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Basis of Presentation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GAAP for interim financial information and the instructions to Form 10</w:t>
        <w:noBreakHyphen/>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31, 2023, from which the Company derived the balance sheet data at December 31, 2022.</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Use of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Principles of Consolidation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include the accounts and transactions of Tenax Therapeutics, Inc., Life Newco, Inc. and PHPM. All material intercompany transactions and balances have been eliminated in consolidation.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Reverse Stock Split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has adjusted the financial statements to reflect that on January 4, 2023, the Company effected a 1-for-20 reverse stock split of its outstanding common stock (the “Reverse Stock Split”). The Reverse Stock Split did not change the number of authorized shares of capital stock or cause an adjustment to the par value of its capital stock. Pursuant to their terms, a proportionate adjustment was made to the per share exercise price and number of shares issuable under the Company’s outstanding stock options and warrants. The number of shares authorized for issuance pursuant to the Company’s equity incentive plans have also been adjusted proportionately to reflect the Reverse Stock Split.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Cash and Cash Equivalents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considers all highly liquid instruments with a maturity date of three months or less, when acquired, to be cash equivalents.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Cash Concentration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Federal Deposit Insurance Corporation (the “FDIC”) insurance limits are $250,000 per depositor per insured bank. The Company had cash balances of $13.1 million and $1.9 million uninsured by the FDIC as of June 30, 2023 and December 31,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has financed its operations since September 1990 through the issuance of debt and equity securities and loans from stockholders. The Company had total current assets of approximately $14.0 million and $3.2 million and working capital of $13.2 million and $1.4 million as of June 30, 2023 and December 31,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Company’s cash resources were approximately $13.4 million as of June 30, 2023, compared to cash resources of approximately $2.1 million as of December 31,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expects to continue to incur expenses related to the development of levosimendan for pulmonary hypertension and other potential indications and imatinib for PAH, as well as identifying and developing other potential product candidates. Based on its resources on June 30, 2023, the Company believes that it has sufficient capital to fund its planned operations through to the first quarter of calendar year 2024.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intends to continue to fund operations from cash on hand and through sources of capital similar to those previously described. The Company cannot provide assurance that it will be able to secure such additional financing on reasonable terms, or if available, that it will be sufficient to meet its needs.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COVID-19 pandemic or a similar societal healthcare disruption could in the future, directly or indirectly, adversely affect the Company’s clinical trial operations, including its ability to recruit and retain patients, principal investigators and site staff who, as healthcare providers, may have heightened exposure to or impact from infectious diseases if an outbreak occurs in their geography. Further, some patients may be unable to comply with clinical trial protocols if quarantines or travel restrictions impede patient movement or interrupt healthcare services, or if the patients become infected with coronavirus or a similar virus themselves, which would delay the Company’s ability to initiate and/or complete planned clinical and preclinical studies in the future. In May 2023, the World Health Organization declared that COVID-19 was no longer a global health emergency, however, any lingering impact from COVID-19 is not fully known and cannot be estimated.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Any or all of the foregoing may have a material adverse effect on the Company’s business and financial performance.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Stock-Based Compensation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accounts for stock-based awards to employees in accordance with Accounting Standards Codification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accounts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Warrants for Common Shares and Derivative Financial Instruments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Warrants for our shares of common stock and other derivative financial instruments are classified as equity if the contracts (1) require physical settlement or net-share settlement or (2) give the Company a choice of net-cash settlement or settlement in its own shares (physical settlement or net-share settlement). Contracts which (1) require net-cash settlement (including a requirement to net cash settle the contract if an event occurs and if that event is outside the control of the Company), (2) give the counterparty a choice of net-cash settlement or settlement in shares (physical settlement or net-share settlement), or (3) that contain reset provisions that do not qualify for the scope exception are classified as equity or liabilities. The Company assesses classification of its warrants for shares of common stock and other derivatives at each reporting date to determine whether a change in classification between equity and liabilities is required.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Loss Per Share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pStyle w:val="TextBody"/>
        <w:bidi w:val="0"/>
        <w:spacing w:before="0" w:after="0"/>
        <w:ind w:left="0" w:right="0" w:hanging="0"/>
        <w:jc w:val="both"/>
        <w:rPr/>
      </w:pPr>
      <w:r>
        <w:rPr/>
        <w:t> </w:t>
      </w:r>
    </w:p>
    <w:tbl>
      <w:tblPr>
        <w:tblW w:w="6480" w:type="dxa"/>
        <w:jc w:val="left"/>
        <w:tblInd w:w="0" w:type="dxa"/>
        <w:tblLayout w:type="fixed"/>
        <w:tblCellMar>
          <w:top w:w="0" w:type="dxa"/>
          <w:left w:w="0" w:type="dxa"/>
          <w:bottom w:w="0" w:type="dxa"/>
          <w:right w:w="0" w:type="dxa"/>
        </w:tblCellMar>
      </w:tblPr>
      <w:tblGrid>
        <w:gridCol w:w="3875"/>
        <w:gridCol w:w="90"/>
        <w:gridCol w:w="90"/>
        <w:gridCol w:w="1010"/>
        <w:gridCol w:w="90"/>
        <w:gridCol w:w="90"/>
        <w:gridCol w:w="90"/>
        <w:gridCol w:w="1010"/>
        <w:gridCol w:w="135"/>
      </w:tblGrid>
      <w:tr>
        <w:trPr/>
        <w:tc>
          <w:tcPr>
            <w:tcW w:w="38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135" w:type="dxa"/>
            <w:tcBorders/>
            <w:vAlign w:val="center"/>
          </w:tcPr>
          <w:p>
            <w:pPr>
              <w:pStyle w:val="TableContents"/>
              <w:bidi w:val="0"/>
              <w:spacing w:before="0" w:after="0"/>
              <w:ind w:left="0" w:right="0" w:hanging="0"/>
              <w:jc w:val="left"/>
              <w:rPr/>
            </w:pPr>
            <w:r>
              <w:rPr/>
              <w:t> </w:t>
            </w:r>
          </w:p>
        </w:tc>
      </w:tr>
      <w:tr>
        <w:trPr/>
        <w:tc>
          <w:tcPr>
            <w:tcW w:w="38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35" w:type="dxa"/>
            <w:tcBorders/>
            <w:vAlign w:val="center"/>
          </w:tcPr>
          <w:p>
            <w:pPr>
              <w:pStyle w:val="TableContents"/>
              <w:bidi w:val="0"/>
              <w:spacing w:before="0" w:after="0"/>
              <w:ind w:left="0" w:right="0" w:hanging="0"/>
              <w:jc w:val="left"/>
              <w:rPr/>
            </w:pPr>
            <w:r>
              <w:rPr/>
              <w:t> </w:t>
            </w:r>
          </w:p>
        </w:tc>
      </w:tr>
      <w:tr>
        <w:trPr/>
        <w:tc>
          <w:tcPr>
            <w:tcW w:w="38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Warrants to purchase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1,722,240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1,576,240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Pre-funded warrants to purchase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1,031,465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to purchase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74,873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88,536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preferred shares outstanding</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210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210</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Recent Accounting Pronouncements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June 2016, the FASB issued ASU-2016-13, Financial Instruments-Credit Losses (Topic 326): Measurement of Credit Losses on Financial Instruments, which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is effective for interim and annual reporting periods beginning January 1, 2023, with early adoption permitted. A modified retrospective approach is to be used for certain parts of this guidance, while other parts of the guidance are to be applied using a prospective approach. The adoption of this standard has not had a material impact on its condensed consolidated financial statements and related disclosures.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3. BALANCE SHEET COMPONENTS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Property and equipment, net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Property and equipment primarily consist of office furniture and fixtures.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Depreciation expense was $1,000 and $1,200 for the three months ended June 30, 2023 and 2022, respectively. For the six months ended June 30, 2023 and 2022, depreciation expense was $1,895 and $2,600,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Accrued liabilities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Accrued liabilities consist of the following:</w:t>
      </w:r>
    </w:p>
    <w:p>
      <w:pPr>
        <w:pStyle w:val="TextBody"/>
        <w:bidi w:val="0"/>
        <w:spacing w:before="0" w:after="0"/>
        <w:ind w:left="0" w:right="0" w:hanging="0"/>
        <w:jc w:val="both"/>
        <w:rPr/>
      </w:pPr>
      <w:r>
        <w:rPr/>
        <w:t> </w:t>
      </w:r>
    </w:p>
    <w:tbl>
      <w:tblPr>
        <w:tblW w:w="4144" w:type="dxa"/>
        <w:jc w:val="left"/>
        <w:tblInd w:w="0" w:type="dxa"/>
        <w:tblLayout w:type="fixed"/>
        <w:tblCellMar>
          <w:top w:w="0" w:type="dxa"/>
          <w:left w:w="0" w:type="dxa"/>
          <w:bottom w:w="0" w:type="dxa"/>
          <w:right w:w="0" w:type="dxa"/>
        </w:tblCellMar>
      </w:tblPr>
      <w:tblGrid>
        <w:gridCol w:w="1490"/>
        <w:gridCol w:w="90"/>
        <w:gridCol w:w="170"/>
        <w:gridCol w:w="830"/>
        <w:gridCol w:w="90"/>
        <w:gridCol w:w="90"/>
        <w:gridCol w:w="212"/>
        <w:gridCol w:w="1037"/>
        <w:gridCol w:w="135"/>
      </w:tblGrid>
      <w:tr>
        <w:trPr/>
        <w:tc>
          <w:tcPr>
            <w:tcW w:w="14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June 30, </w:t>
            </w:r>
          </w:p>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December 31, </w:t>
            </w:r>
          </w:p>
          <w:p>
            <w:pPr>
              <w:pStyle w:val="TableContents"/>
              <w:bidi w:val="0"/>
              <w:spacing w:before="0" w:after="0"/>
              <w:ind w:left="0" w:right="0" w:hanging="0"/>
              <w:jc w:val="center"/>
              <w:rPr/>
            </w:pPr>
            <w:r>
              <w:rPr>
                <w:rStyle w:val="StrongEmphasis"/>
                <w:rFonts w:ascii="times new roman" w:hAnsi="times new roman"/>
                <w:sz w:val="20"/>
              </w:rPr>
              <w:t>2022</w:t>
            </w:r>
          </w:p>
        </w:tc>
        <w:tc>
          <w:tcPr>
            <w:tcW w:w="135" w:type="dxa"/>
            <w:tcBorders/>
            <w:vAlign w:val="center"/>
          </w:tcPr>
          <w:p>
            <w:pPr>
              <w:pStyle w:val="TableContents"/>
              <w:bidi w:val="0"/>
              <w:spacing w:before="0" w:after="0"/>
              <w:ind w:left="0" w:right="0" w:hanging="0"/>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230,000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245,391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2" w:type="dxa"/>
            <w:tcBorders/>
            <w:shd w:fill="FFFFFF" w:val="clear"/>
            <w:vAlign w:val="center"/>
          </w:tcPr>
          <w:p>
            <w:pPr>
              <w:pStyle w:val="TableContents"/>
              <w:bidi w:val="0"/>
              <w:spacing w:before="0" w:after="0"/>
              <w:ind w:left="0" w:right="0" w:hanging="0"/>
              <w:jc w:val="left"/>
              <w:rPr/>
            </w:pPr>
            <w:r>
              <w:rPr/>
              <w:t> </w:t>
            </w:r>
          </w:p>
        </w:tc>
        <w:tc>
          <w:tcPr>
            <w:tcW w:w="1037" w:type="dxa"/>
            <w:tcBorders/>
            <w:shd w:fill="FFFFFF" w:val="clear"/>
            <w:vAlign w:val="center"/>
          </w:tcPr>
          <w:p>
            <w:pPr>
              <w:pStyle w:val="TableContents"/>
              <w:bidi w:val="0"/>
              <w:spacing w:before="0" w:after="283"/>
              <w:jc w:val="right"/>
              <w:rPr/>
            </w:pPr>
            <w:r>
              <w:rPr/>
              <w:t>119,393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Employee related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41,633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283"/>
              <w:jc w:val="right"/>
              <w:rPr/>
            </w:pPr>
            <w:r>
              <w:rPr/>
              <w:t>410,261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4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271,633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775,045</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Style w:val="StrongEmphasis"/>
          <w:rFonts w:ascii="times new roman" w:hAnsi="times new roman"/>
          <w:sz w:val="20"/>
        </w:rPr>
        <w:t>NOTE 4. NOTE PAYABLE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Premium Finance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December 31, 2022, the Company executed a premium finance note agreement (the “Note”) with AFCO Credit Corporation. The Note financed the Company’s Directors and Officers Insurance Policy as well as the Errors and Omissions policy. The total amount financed was $693,669. The Company paid a down payment of $69,367 at execution leaving a balance of $624,302 payable in monthly installments of $58,873 through December 1, 2023. The Note has an interest rate of 7.39%. The Company recorded interest expense on the Note of in the amount of $8,463 and $15,814 for the three and six months ended June 30, 2023. The balance on the Note as of June 30, 2023 and December 31, 2022 was $345,749 and $624,302,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5. LEASE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January 2011, the Company entered into a lease (the “Lease”) with Concourse Associates, LLC (the “Landlord”) for its headquarters located at ONE Copley Parkway, Suite 490, Morrisville, North Carolina (the “Premises”). The Lease was amended in August 2015, March 2016 and April 2021 to extend the term for the 5,954 square foot rental. Pursuant to the Amendment dated April 2021, the existing lease term was extended through June 30, 2024 and the annual base rent of $125,034 would increase 2.5% annually for lease years two and three. On February 7, 2023, the Company entered into a Lease Termination Agreement with the Landlord, with respect to the Premises. As consideration for the Landlord’s entry into the Lease Termination Agreement, including a release of any claims the Landlord may have had against the Company under the Lease, the Company paid the Landlord $169,867. Pursuant to the Lease Termination Agreement, effective February 8, 2023, the Company has no remaining rent or further obligations to the Landlord pursuant to the Lease.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performed an evaluation of its other contracts with customers and suppliers in accordance with ASC 842, Leases, and determined that, except for the Lease described above, none of the Company’s contracts contain a lease.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owns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current rent is approximately $750 per month.</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6. COMMITMENTS AND CONTINGENCIES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Simdax license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November 13, 2013, the Company acquired, through its wholly-owned subsidiary, Life Newco, that certain License, dated September 20, 2013, as amended on October 9, 2020 and January 25, 2022, by and between Phyxius and Orion, and that certain Side Letter, dated October 15, 2013, by and between Phyxius and Orion. The License grants the Company an exclusive, sublicensable right to develop and commercialize pharmaceutical products containing levosimendan in the Territory and, pursuant to the October 9, 2020 and January 25, 2022 amendments, also includes two product dose forms containing levosimendan, in capsule and solid dosage form, and a subcutaneously administered product containing levosimendan, subject to specified limitations in the License. Pursuant to the License, the Company and Orion will agree to a new trademark when commercializing levosimendan in either of these forms.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License also grants the Company a right of first refusal to commercialize new developments of the Product, including developments as to the formulation, presentation, means of delivery, route of administration, dosage or indication (i.e., line extension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June 30, 2023, the Company has not met any of the developmental milestones under the License and, accordingly, has not recorded any liability for the contingent payments due to Orion.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Litigation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is subject to litigation in the normal course of business, none of which management believes will have a material adverse effect on the Company’s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7. STOCKHOLDERS’ EQUITY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Series A Stock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December 11, 2018, the Company closed its underwritten offering of 259,068 units for net proceeds of approximately $9.0 million (the “2018 Offering”). Each unit consisted of (i) twenty shares of the Company’s Series A convertible preferred stock, par value $0.0001 per share (the “Series A Stock”), (ii) a two-year warrant to purchase one share of common stock at an exercise price of $38.60, and (iii) a five-year warrant to purchase one share of common stock at an exercise price of $38.60. In accordance with ASC 480, Distinguishing Liabilities from Equity, the estimated fair value of $1,800,016 for the beneficial conversion feature was recognized as a deemed dividend on the Series A Stock during the year ended December 31, 2020.</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June 30, 2023, there were 210 shares of Series A Stock outstanding.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Common Stock and Pre-Funded Warrants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Company’s Certificate of Incorporation authorizes it to issue 400,000,000 shares of $0.0001 par value common stock. As of June 30, 2023, and December 31, 2022, there were 23,862,434 and 2,291,809 shares of common stock issued and outstanding, respectively. As of June 30, 2023 and December 31, 2022, there were no pre-funded warrants outstanding.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has adjusted the financial statements to reflect the January 4, 2023, 1-for-20 Reverse Stock Split. The Reverse Stock Split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February 2023 Registered Public Offering (the “February 2023 Offering”)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February 3, 2023, the Company entered into a securities purchase agreement with certain purchasers for the purchase and sale, in a registered public offering by the Company of (i) an aggregate of 6,959,444 shares of its common stock, and pre-funded warrants to purchase an aggregate of 1,707,222 shares of common stock and (ii) accompanying warrants to purchase up to an aggregate of 17,333,332 shares of its common stock at a combined offering price of $1.80 per share of common stock and associated common warrant, or $1.799 per pre-funded warrant and associated common warrant, resulting in gross proceeds of approximately $15.6 million. The net proceeds of the February 2023 Offering after deducting placement agent fees and direct offering expenses were approximately $13.7 million. The fair value allocated to the common stock, pre-funded warrants and warrants was $5.0 million, $1.2 million and $9.4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May 2022 Private Placement (the “May 2022 Offering”)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May 17, 2022, the Company entered into a securities purchase agreement with an institutional investor, pursuant to which the Company agreed to sell and issue to the investor 529,802 units in a private placement at a purchase price of $15.50 per unit. Each unit consisted of (i) one unregistered pre-funded warrant to purchase one share of common stock and (ii) one unregistered warrant to purchase one share of common stock (together with the pre-funded warrants, the “2022 Warrants”). In the aggregate, 1,059,603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Additionally, in connection with the May 2022 Offering, the Company entered into a warrant amendment agreement (the “Warrant Amendment Agreement”) with the investor, in consideration for the investor’s purchase of units in the May 2022 Offering, pursuant to which the Company agreed to amend certain previously issued warrants held by the investor. The terms of the amended and restated warrants are described further below under “Note 8—Stockholders Equity—Warrants”.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Warrants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As of June 30, 2023, the Company has 1,722,240 warrants outstanding. The following table summarizes the Company’s warrant activity for the six months ended June 30, 2023: </w:t>
      </w:r>
    </w:p>
    <w:p>
      <w:pPr>
        <w:pStyle w:val="TextBody"/>
        <w:bidi w:val="0"/>
        <w:spacing w:before="0" w:after="0"/>
        <w:ind w:left="0" w:right="0" w:hanging="0"/>
        <w:jc w:val="both"/>
        <w:rPr/>
      </w:pPr>
      <w:r>
        <w:rPr/>
        <w:t> </w:t>
      </w:r>
    </w:p>
    <w:tbl>
      <w:tblPr>
        <w:tblW w:w="5989" w:type="dxa"/>
        <w:jc w:val="left"/>
        <w:tblInd w:w="0" w:type="dxa"/>
        <w:tblLayout w:type="fixed"/>
        <w:tblCellMar>
          <w:top w:w="0" w:type="dxa"/>
          <w:left w:w="0" w:type="dxa"/>
          <w:bottom w:w="0" w:type="dxa"/>
          <w:right w:w="0" w:type="dxa"/>
        </w:tblCellMar>
      </w:tblPr>
      <w:tblGrid>
        <w:gridCol w:w="2975"/>
        <w:gridCol w:w="90"/>
        <w:gridCol w:w="90"/>
        <w:gridCol w:w="1205"/>
        <w:gridCol w:w="125"/>
        <w:gridCol w:w="90"/>
        <w:gridCol w:w="285"/>
        <w:gridCol w:w="994"/>
        <w:gridCol w:w="135"/>
      </w:tblGrid>
      <w:tr>
        <w:trPr/>
        <w:tc>
          <w:tcPr>
            <w:tcW w:w="29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Warrants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Weighted </w:t>
            </w:r>
          </w:p>
          <w:p>
            <w:pPr>
              <w:pStyle w:val="TableContents"/>
              <w:bidi w:val="0"/>
              <w:spacing w:before="0" w:after="0"/>
              <w:ind w:left="0" w:right="0" w:hanging="0"/>
              <w:jc w:val="center"/>
              <w:rPr/>
            </w:pPr>
            <w:r>
              <w:rPr>
                <w:rStyle w:val="StrongEmphasis"/>
                <w:rFonts w:ascii="times new roman" w:hAnsi="times new roman"/>
                <w:sz w:val="20"/>
              </w:rPr>
              <w:t xml:space="preserve">Average </w:t>
            </w:r>
          </w:p>
          <w:p>
            <w:pPr>
              <w:pStyle w:val="TableContents"/>
              <w:bidi w:val="0"/>
              <w:spacing w:before="0" w:after="0"/>
              <w:ind w:left="0" w:right="0" w:hanging="0"/>
              <w:jc w:val="center"/>
              <w:rPr/>
            </w:pPr>
            <w:r>
              <w:rPr>
                <w:rStyle w:val="StrongEmphasis"/>
                <w:rFonts w:ascii="times new roman" w:hAnsi="times new roman"/>
                <w:sz w:val="20"/>
              </w:rPr>
              <w:t>Exercise Price</w:t>
            </w:r>
          </w:p>
        </w:tc>
        <w:tc>
          <w:tcPr>
            <w:tcW w:w="135" w:type="dxa"/>
            <w:tcBorders/>
            <w:vAlign w:val="center"/>
          </w:tcPr>
          <w:p>
            <w:pPr>
              <w:pStyle w:val="TableContents"/>
              <w:bidi w:val="0"/>
              <w:spacing w:before="0" w:after="0"/>
              <w:ind w:left="0" w:right="0" w:hanging="0"/>
              <w:jc w:val="left"/>
              <w:rPr/>
            </w:pPr>
            <w:r>
              <w:rPr/>
              <w:t> </w:t>
            </w:r>
          </w:p>
        </w:tc>
      </w:tr>
      <w:tr>
        <w:trPr/>
        <w:tc>
          <w:tcPr>
            <w:tcW w:w="297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Outstanding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283"/>
              <w:jc w:val="right"/>
              <w:rPr/>
            </w:pPr>
            <w:r>
              <w:rPr>
                <w:rStyle w:val="StrongEmphasis"/>
              </w:rPr>
              <w:t>1,576,240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283"/>
              <w:jc w:val="left"/>
              <w:rPr/>
            </w:pPr>
            <w:r>
              <w:rPr>
                <w:rStyle w:val="StrongEmphasis"/>
              </w:rPr>
              <w:t>$</w:t>
            </w:r>
          </w:p>
        </w:tc>
        <w:tc>
          <w:tcPr>
            <w:tcW w:w="994" w:type="dxa"/>
            <w:tcBorders/>
            <w:shd w:fill="CCEEFF" w:val="clear"/>
            <w:vAlign w:val="center"/>
          </w:tcPr>
          <w:p>
            <w:pPr>
              <w:pStyle w:val="TableContents"/>
              <w:bidi w:val="0"/>
              <w:spacing w:before="0" w:after="283"/>
              <w:jc w:val="right"/>
              <w:rPr/>
            </w:pPr>
            <w:r>
              <w:rPr>
                <w:rStyle w:val="StrongEmphasis"/>
              </w:rPr>
              <w:t>17.13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Issued</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t>17,333,332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85"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jc w:val="right"/>
              <w:rPr/>
            </w:pPr>
            <w:r>
              <w:rPr/>
              <w:t>2.25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jc w:val="right"/>
              <w:rPr/>
            </w:pPr>
            <w:r>
              <w:rPr/>
              <w:t>(17,187,332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jc w:val="right"/>
              <w:rPr/>
            </w:pPr>
            <w:r>
              <w:rPr/>
              <w:t>2.25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975"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Outstanding at June 30, 2023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rStyle w:val="StrongEmphasis"/>
              </w:rPr>
              <w:t>1,722,240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85" w:type="dxa"/>
            <w:tcBorders/>
            <w:shd w:fill="FFFFFF" w:val="clear"/>
            <w:vAlign w:val="center"/>
          </w:tcPr>
          <w:p>
            <w:pPr>
              <w:pStyle w:val="TableContents"/>
              <w:bidi w:val="0"/>
              <w:spacing w:before="0" w:after="283"/>
              <w:jc w:val="left"/>
              <w:rPr/>
            </w:pPr>
            <w:r>
              <w:rPr>
                <w:rStyle w:val="StrongEmphasis"/>
              </w:rPr>
              <w:t>$</w:t>
            </w:r>
          </w:p>
        </w:tc>
        <w:tc>
          <w:tcPr>
            <w:tcW w:w="994" w:type="dxa"/>
            <w:tcBorders/>
            <w:shd w:fill="FFFFFF" w:val="clear"/>
            <w:vAlign w:val="center"/>
          </w:tcPr>
          <w:p>
            <w:pPr>
              <w:pStyle w:val="TableContents"/>
              <w:bidi w:val="0"/>
              <w:spacing w:before="0" w:after="283"/>
              <w:jc w:val="right"/>
              <w:rPr/>
            </w:pPr>
            <w:r>
              <w:rPr>
                <w:rStyle w:val="StrongEmphasis"/>
              </w:rPr>
              <w:t>15.87</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February 2023 Warrants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 xml:space="preserve">As described above, as a part of the February 2023 Offering, the Company issued unregistered warrants to purchase 17,333,332 shares of its common stock at an exercise price of $2.25 per share and contractual term of five years. The unregistered warrants were offered in a private placement under Section 4(a)(2) of the Securities Act of 1933, as amended (the “Securities Act”) and Regulation D promulgated thereunder. In accordance with </w:t>
      </w:r>
      <w:r>
        <w:rPr>
          <w:rStyle w:val="Emphasis"/>
          <w:rFonts w:ascii="times new roman" w:hAnsi="times new roman"/>
          <w:sz w:val="20"/>
        </w:rPr>
        <w:t>ASC 815, Derivatives and Hedging</w:t>
      </w:r>
      <w:r>
        <w:rPr>
          <w:rFonts w:ascii="times new roman" w:hAnsi="times new roman"/>
          <w:sz w:val="20"/>
        </w:rPr>
        <w:t>, these warrants are classified as equity and their relative fair value of approximately $10.6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pStyle w:val="TextBody"/>
        <w:bidi w:val="0"/>
        <w:spacing w:before="0" w:after="0"/>
        <w:ind w:left="0" w:right="0" w:hanging="0"/>
        <w:jc w:val="both"/>
        <w:rPr/>
      </w:pPr>
      <w:r>
        <w:rPr/>
        <w:t> </w:t>
      </w:r>
    </w:p>
    <w:tbl>
      <w:tblPr>
        <w:tblW w:w="3510" w:type="dxa"/>
        <w:jc w:val="left"/>
        <w:tblInd w:w="0" w:type="dxa"/>
        <w:tblLayout w:type="fixed"/>
        <w:tblCellMar>
          <w:top w:w="0" w:type="dxa"/>
          <w:left w:w="0" w:type="dxa"/>
          <w:bottom w:w="0" w:type="dxa"/>
          <w:right w:w="0" w:type="dxa"/>
        </w:tblCellMar>
      </w:tblPr>
      <w:tblGrid>
        <w:gridCol w:w="2330"/>
        <w:gridCol w:w="90"/>
        <w:gridCol w:w="90"/>
        <w:gridCol w:w="710"/>
        <w:gridCol w:w="290"/>
      </w:tblGrid>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Remaining contractual term</w:t>
            </w:r>
          </w:p>
        </w:tc>
        <w:tc>
          <w:tcPr>
            <w:tcW w:w="90" w:type="dxa"/>
            <w:tcBorders/>
            <w:shd w:fill="CCEEFF" w:val="clear"/>
            <w:vAlign w:val="center"/>
          </w:tcPr>
          <w:p>
            <w:pPr>
              <w:pStyle w:val="TableContents"/>
              <w:bidi w:val="0"/>
              <w:spacing w:before="0" w:after="0"/>
              <w:ind w:left="0" w:right="0" w:hanging="0"/>
              <w:jc w:val="left"/>
              <w:rPr/>
            </w:pPr>
            <w:r>
              <w:rPr/>
              <w:t> </w:t>
            </w:r>
          </w:p>
        </w:tc>
        <w:tc>
          <w:tcPr>
            <w:tcW w:w="800"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 Years</w:t>
            </w:r>
          </w:p>
        </w:tc>
        <w:tc>
          <w:tcPr>
            <w:tcW w:w="290" w:type="dxa"/>
            <w:tcBorders/>
            <w:shd w:fill="CCEEFF" w:val="clear"/>
            <w:vAlign w:val="center"/>
          </w:tcPr>
          <w:p>
            <w:pPr>
              <w:pStyle w:val="TableContents"/>
              <w:bidi w:val="0"/>
              <w:spacing w:before="0" w:after="0"/>
              <w:ind w:left="0" w:right="0" w:hanging="0"/>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Risk free interest rate</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283"/>
              <w:jc w:val="right"/>
              <w:rPr/>
            </w:pPr>
            <w:r>
              <w:rPr/>
              <w:t>2.23</w:t>
            </w:r>
          </w:p>
        </w:tc>
        <w:tc>
          <w:tcPr>
            <w:tcW w:w="29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Expected dividends</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0"/>
              <w:ind w:left="0" w:right="0" w:hanging="0"/>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Expected Volatility</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283"/>
              <w:jc w:val="right"/>
              <w:rPr/>
            </w:pPr>
            <w:r>
              <w:rPr/>
              <w:t>105.69</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May 2022 Warrants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 xml:space="preserve">As described above, as a part of the May 2022 Offering, the Company issued unregistered warrants to purchase 529,802 shares of its common stock at an exercise price of $12.60 per share and contractual term of five and one-half years. The unregistered warrants were offered in a private placement under Section 4(a)(2) of the Securities Act and Regulation D promulgated thereunder. In accordance with </w:t>
      </w:r>
      <w:r>
        <w:rPr>
          <w:rStyle w:val="Emphasis"/>
          <w:rFonts w:ascii="times new roman" w:hAnsi="times new roman"/>
          <w:sz w:val="20"/>
        </w:rPr>
        <w:t>ASC 815, Derivatives and Hedging</w:t>
      </w:r>
      <w:r>
        <w:rPr>
          <w:rFonts w:ascii="times new roman" w:hAnsi="times new roman"/>
          <w:sz w:val="20"/>
        </w:rPr>
        <w:t>, these warrants are classified as equity and their relative fair value of approximately $3.8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Stock Options</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2022 Stock Incentive Plan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June 9, 2022, the Company’s stockholders approved the Tenax Therapeutics. Inc. 2022 Stock Incentive Plan (the “2022 Plan”), which authorizes for issuance a total of 55,000 shares of common stock. Under the 2022 Plan, with the approval of the Board’s Compensation Committee, the Company may grant stock options, stock appreciation rights, restricted stock, restricted stock units, performance shares, performance units, cash-based awards or other stock-based awards. The 2022 Plan superseded and replaced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the 2022 Plan. At June 30, 2023 there were 51,487 shares that rolled over from the 2016 Plan and 28,488 shares remaining under the 2022 Plan resulting in an aggregate of 79,975 shares available for issuance under the 2022 Plan.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summarizes the shares available for grant under the 2022 Plan for the six months ended June 30, 2023.</w:t>
      </w:r>
    </w:p>
    <w:p>
      <w:pPr>
        <w:pStyle w:val="TextBody"/>
        <w:bidi w:val="0"/>
        <w:spacing w:before="0" w:after="0"/>
        <w:ind w:left="0" w:right="0" w:hanging="0"/>
        <w:jc w:val="both"/>
        <w:rPr/>
      </w:pPr>
      <w:r>
        <w:rPr/>
        <w:t> </w:t>
      </w:r>
    </w:p>
    <w:tbl>
      <w:tblPr>
        <w:tblW w:w="4194" w:type="dxa"/>
        <w:jc w:val="left"/>
        <w:tblInd w:w="0" w:type="dxa"/>
        <w:tblLayout w:type="fixed"/>
        <w:tblCellMar>
          <w:top w:w="0" w:type="dxa"/>
          <w:left w:w="0" w:type="dxa"/>
          <w:bottom w:w="0" w:type="dxa"/>
          <w:right w:w="0" w:type="dxa"/>
        </w:tblCellMar>
      </w:tblPr>
      <w:tblGrid>
        <w:gridCol w:w="2750"/>
        <w:gridCol w:w="90"/>
        <w:gridCol w:w="136"/>
        <w:gridCol w:w="1083"/>
        <w:gridCol w:w="135"/>
      </w:tblGrid>
      <w:tr>
        <w:trPr/>
        <w:tc>
          <w:tcPr>
            <w:tcW w:w="27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Shares </w:t>
            </w:r>
          </w:p>
          <w:p>
            <w:pPr>
              <w:pStyle w:val="TableContents"/>
              <w:bidi w:val="0"/>
              <w:spacing w:before="0" w:after="0"/>
              <w:ind w:left="0" w:right="0" w:hanging="0"/>
              <w:jc w:val="center"/>
              <w:rPr/>
            </w:pPr>
            <w:r>
              <w:rPr>
                <w:rStyle w:val="StrongEmphasis"/>
                <w:rFonts w:ascii="times new roman" w:hAnsi="times new roman"/>
                <w:sz w:val="20"/>
              </w:rPr>
              <w:t xml:space="preserve">Available for </w:t>
            </w:r>
          </w:p>
          <w:p>
            <w:pPr>
              <w:pStyle w:val="TableContents"/>
              <w:bidi w:val="0"/>
              <w:spacing w:before="0" w:after="0"/>
              <w:ind w:left="0" w:right="0" w:hanging="0"/>
              <w:jc w:val="center"/>
              <w:rPr/>
            </w:pPr>
            <w:r>
              <w:rPr>
                <w:rStyle w:val="StrongEmphasis"/>
                <w:rFonts w:ascii="times new roman" w:hAnsi="times new roman"/>
                <w:sz w:val="20"/>
              </w:rPr>
              <w:t>Grant</w:t>
            </w:r>
          </w:p>
        </w:tc>
        <w:tc>
          <w:tcPr>
            <w:tcW w:w="135" w:type="dxa"/>
            <w:tcBorders/>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283"/>
              <w:jc w:val="right"/>
              <w:rPr/>
            </w:pPr>
            <w:r>
              <w:rPr/>
              <w:t>77,616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granted</w:t>
            </w:r>
          </w:p>
        </w:tc>
        <w:tc>
          <w:tcPr>
            <w:tcW w:w="9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1083"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cancelled/forfeited</w:t>
            </w:r>
          </w:p>
        </w:tc>
        <w:tc>
          <w:tcPr>
            <w:tcW w:w="9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shd w:fill="CCEEFF" w:val="clear"/>
            <w:tcMar>
              <w:bottom w:w="28" w:type="dxa"/>
            </w:tcMar>
            <w:vAlign w:val="center"/>
          </w:tcPr>
          <w:p>
            <w:pPr>
              <w:pStyle w:val="TableContents"/>
              <w:bidi w:val="0"/>
              <w:spacing w:before="0" w:after="283"/>
              <w:jc w:val="right"/>
              <w:rPr/>
            </w:pPr>
            <w:r>
              <w:rPr/>
              <w:t>2,359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7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June 30, 2023</w:t>
            </w:r>
          </w:p>
        </w:tc>
        <w:tc>
          <w:tcPr>
            <w:tcW w:w="9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1083" w:type="dxa"/>
            <w:tcBorders/>
            <w:shd w:fill="FFFFFF" w:val="clear"/>
            <w:vAlign w:val="center"/>
          </w:tcPr>
          <w:p>
            <w:pPr>
              <w:pStyle w:val="TableContents"/>
              <w:bidi w:val="0"/>
              <w:spacing w:before="0" w:after="283"/>
              <w:jc w:val="right"/>
              <w:rPr/>
            </w:pPr>
            <w:r>
              <w:rPr/>
              <w:t>79,975</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Style w:val="Emphasis"/>
          <w:rFonts w:ascii="times new roman" w:hAnsi="times new roman"/>
          <w:sz w:val="20"/>
        </w:rPr>
        <w:t>2022 Plan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summarizes the outstanding stock options under the 2022 Plan for the six months ended June 30, 2023.</w:t>
      </w:r>
    </w:p>
    <w:p>
      <w:pPr>
        <w:pStyle w:val="TextBody"/>
        <w:bidi w:val="0"/>
        <w:spacing w:before="0" w:after="0"/>
        <w:ind w:left="0" w:right="0" w:hanging="0"/>
        <w:jc w:val="both"/>
        <w:rPr/>
      </w:pPr>
      <w:r>
        <w:rPr/>
        <w:t> </w:t>
      </w:r>
    </w:p>
    <w:tbl>
      <w:tblPr>
        <w:tblW w:w="5734" w:type="dxa"/>
        <w:jc w:val="left"/>
        <w:tblInd w:w="0" w:type="dxa"/>
        <w:tblLayout w:type="fixed"/>
        <w:tblCellMar>
          <w:top w:w="0" w:type="dxa"/>
          <w:left w:w="0" w:type="dxa"/>
          <w:bottom w:w="0" w:type="dxa"/>
          <w:right w:w="0" w:type="dxa"/>
        </w:tblCellMar>
      </w:tblPr>
      <w:tblGrid>
        <w:gridCol w:w="2705"/>
        <w:gridCol w:w="90"/>
        <w:gridCol w:w="111"/>
        <w:gridCol w:w="883"/>
        <w:gridCol w:w="126"/>
        <w:gridCol w:w="90"/>
        <w:gridCol w:w="356"/>
        <w:gridCol w:w="1238"/>
        <w:gridCol w:w="135"/>
      </w:tblGrid>
      <w:tr>
        <w:trPr/>
        <w:tc>
          <w:tcPr>
            <w:tcW w:w="27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804"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Outstanding Options</w:t>
            </w:r>
          </w:p>
        </w:tc>
        <w:tc>
          <w:tcPr>
            <w:tcW w:w="135" w:type="dxa"/>
            <w:tcBorders/>
            <w:vAlign w:val="center"/>
          </w:tcPr>
          <w:p>
            <w:pPr>
              <w:pStyle w:val="TableContents"/>
              <w:bidi w:val="0"/>
              <w:spacing w:before="0" w:after="0"/>
              <w:ind w:left="0" w:right="0" w:hanging="0"/>
              <w:jc w:val="left"/>
              <w:rPr/>
            </w:pPr>
            <w:r>
              <w:rPr/>
              <w:t> </w:t>
            </w:r>
          </w:p>
        </w:tc>
      </w:tr>
      <w:tr>
        <w:trPr/>
        <w:tc>
          <w:tcPr>
            <w:tcW w:w="27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Number of </w:t>
            </w:r>
          </w:p>
          <w:p>
            <w:pPr>
              <w:pStyle w:val="TableContents"/>
              <w:bidi w:val="0"/>
              <w:spacing w:before="0" w:after="0"/>
              <w:ind w:left="0" w:right="0" w:hanging="0"/>
              <w:jc w:val="center"/>
              <w:rPr/>
            </w:pPr>
            <w:r>
              <w:rPr>
                <w:rStyle w:val="StrongEmphasis"/>
                <w:rFonts w:ascii="times new roman" w:hAnsi="times new roman"/>
                <w:sz w:val="20"/>
              </w:rPr>
              <w:t>Shares</w:t>
            </w:r>
          </w:p>
        </w:tc>
        <w:tc>
          <w:tcPr>
            <w:tcW w:w="126"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Weighted </w:t>
            </w:r>
          </w:p>
          <w:p>
            <w:pPr>
              <w:pStyle w:val="TableContents"/>
              <w:bidi w:val="0"/>
              <w:spacing w:before="0" w:after="0"/>
              <w:ind w:left="0" w:right="0" w:hanging="0"/>
              <w:jc w:val="center"/>
              <w:rPr/>
            </w:pPr>
            <w:r>
              <w:rPr>
                <w:rStyle w:val="StrongEmphasis"/>
                <w:rFonts w:ascii="times new roman" w:hAnsi="times new roman"/>
                <w:sz w:val="20"/>
              </w:rPr>
              <w:t xml:space="preserve">Average Exercise </w:t>
            </w:r>
          </w:p>
          <w:p>
            <w:pPr>
              <w:pStyle w:val="TableContents"/>
              <w:bidi w:val="0"/>
              <w:spacing w:before="0" w:after="0"/>
              <w:ind w:left="0" w:right="0" w:hanging="0"/>
              <w:jc w:val="center"/>
              <w:rPr/>
            </w:pPr>
            <w:r>
              <w:rPr>
                <w:rStyle w:val="StrongEmphasis"/>
                <w:rFonts w:ascii="times new roman" w:hAnsi="times new roman"/>
                <w:sz w:val="20"/>
              </w:rPr>
              <w:t>Price</w:t>
            </w:r>
          </w:p>
        </w:tc>
        <w:tc>
          <w:tcPr>
            <w:tcW w:w="135" w:type="dxa"/>
            <w:tcBorders/>
            <w:vAlign w:val="center"/>
          </w:tcPr>
          <w:p>
            <w:pPr>
              <w:pStyle w:val="TableContents"/>
              <w:bidi w:val="0"/>
              <w:spacing w:before="0" w:after="0"/>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jc w:val="right"/>
              <w:rPr/>
            </w:pPr>
            <w:r>
              <w:rPr/>
              <w:t>28,163</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12.40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cancelled/forfeited</w:t>
            </w:r>
          </w:p>
        </w:tc>
        <w:tc>
          <w:tcPr>
            <w:tcW w:w="90" w:type="dxa"/>
            <w:tcBorders/>
            <w:shd w:fill="FFFFFF" w:val="clear"/>
            <w:vAlign w:val="center"/>
          </w:tcPr>
          <w:p>
            <w:pPr>
              <w:pStyle w:val="TableContents"/>
              <w:bidi w:val="0"/>
              <w:spacing w:before="0" w:after="0"/>
              <w:ind w:left="0" w:right="0" w:hanging="0"/>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jc w:val="right"/>
              <w:rPr/>
            </w:pPr>
            <w:r>
              <w:rPr/>
              <w:t>(1,650</w:t>
            </w:r>
          </w:p>
        </w:tc>
        <w:tc>
          <w:tcPr>
            <w:tcW w:w="126"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single" w:sz="2" w:space="0" w:color="000000"/>
            </w:tcBorders>
            <w:shd w:fill="FFFFFF" w:val="clear"/>
            <w:tcMar>
              <w:bottom w:w="28" w:type="dxa"/>
            </w:tcMar>
            <w:vAlign w:val="center"/>
          </w:tcPr>
          <w:p>
            <w:pPr>
              <w:pStyle w:val="TableContents"/>
              <w:bidi w:val="0"/>
              <w:spacing w:before="0" w:after="283"/>
              <w:jc w:val="right"/>
              <w:rPr/>
            </w:pPr>
            <w:r>
              <w:rPr/>
              <w:t>12.40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June 30, 2023</w:t>
            </w:r>
          </w:p>
        </w:tc>
        <w:tc>
          <w:tcPr>
            <w:tcW w:w="90"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jc w:val="right"/>
              <w:rPr/>
            </w:pPr>
            <w:r>
              <w:rPr/>
              <w:t>26,513</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12.40</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chose the “straight-line” attribution method for allocating compensation costs of each stock option over the requisite service period using the Black-Scholes Option Pricing Model to calculate the grant date 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recorded compensation expense for stock option grants of $18,117 and $52,497 for the three and six months ended June 30, 2023, respectively. No compensation expense was recorded for the six months ended June 30,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June 30, 2023, there were unrecognized compensation costs of approximately $109,857 related to non-vested stock option awards under the 2022 Plan that will be recognized on a straight-line basis over the weighted average remaining vesting period of 2.19 years.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2016 Stock Incentive Plan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June 16, 2016, the Company’s stockholders approved the 2016 Plan and authorized for issuance under the 2016 Plan a total of 7,500 shares of common stock. Under the 2016 Plan, with the approval of the Board’s Compensation Committee, the Company could grant stock options, stock appreciation rights, restricted stock, restricted stock units, performance shares, performance units, cash-based awards or other stock-based awards. On June 13, 2019, the Company’s stockholders approved an amendment to the 2016 Plan which increased the number of shares of common stock authorized for issuance under the 2016 Plan to a total of 37,500 shares, up from 7,500 previously authorized.  On June 10, 2021, the Company’s stockholders approved an additional amendment to the 2016 Plan which increased the number of shares of common stock authorized for issuance under the 2016 Plan to a total of 75,000 shares, up from 37,500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2016 Plan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Stock options granted under the 2016 Plan could be either ISOs or NSOs. ISOs could be granted only to employees. NSOs could be granted to employees, consultants and directors. Stock options under the 2016 Plan could be granted with a term of up to ten years and at prices no less than fair market value at the time of grant. Stock options granted generally vest over three to four years.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following table summarizes the outstanding stock options under the 2016 Plan for the six months ended June 30, 2023. </w:t>
      </w:r>
    </w:p>
    <w:p>
      <w:pPr>
        <w:pStyle w:val="TextBody"/>
        <w:bidi w:val="0"/>
        <w:spacing w:before="0" w:after="0"/>
        <w:ind w:left="0" w:right="0" w:hanging="0"/>
        <w:jc w:val="both"/>
        <w:rPr/>
      </w:pPr>
      <w:r>
        <w:rPr/>
        <w:t> </w:t>
      </w:r>
    </w:p>
    <w:tbl>
      <w:tblPr>
        <w:tblW w:w="5734" w:type="dxa"/>
        <w:jc w:val="left"/>
        <w:tblInd w:w="0" w:type="dxa"/>
        <w:tblLayout w:type="fixed"/>
        <w:tblCellMar>
          <w:top w:w="0" w:type="dxa"/>
          <w:left w:w="0" w:type="dxa"/>
          <w:bottom w:w="0" w:type="dxa"/>
          <w:right w:w="0" w:type="dxa"/>
        </w:tblCellMar>
      </w:tblPr>
      <w:tblGrid>
        <w:gridCol w:w="2705"/>
        <w:gridCol w:w="90"/>
        <w:gridCol w:w="111"/>
        <w:gridCol w:w="883"/>
        <w:gridCol w:w="126"/>
        <w:gridCol w:w="90"/>
        <w:gridCol w:w="356"/>
        <w:gridCol w:w="1238"/>
        <w:gridCol w:w="135"/>
      </w:tblGrid>
      <w:tr>
        <w:trPr/>
        <w:tc>
          <w:tcPr>
            <w:tcW w:w="27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804"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Outstanding Options</w:t>
            </w:r>
          </w:p>
        </w:tc>
        <w:tc>
          <w:tcPr>
            <w:tcW w:w="135" w:type="dxa"/>
            <w:tcBorders/>
            <w:vAlign w:val="center"/>
          </w:tcPr>
          <w:p>
            <w:pPr>
              <w:pStyle w:val="TableContents"/>
              <w:bidi w:val="0"/>
              <w:spacing w:before="0" w:after="0"/>
              <w:ind w:left="0" w:right="0" w:hanging="0"/>
              <w:jc w:val="left"/>
              <w:rPr/>
            </w:pPr>
            <w:r>
              <w:rPr/>
              <w:t> </w:t>
            </w:r>
          </w:p>
        </w:tc>
      </w:tr>
      <w:tr>
        <w:trPr/>
        <w:tc>
          <w:tcPr>
            <w:tcW w:w="27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Number of </w:t>
            </w:r>
          </w:p>
          <w:p>
            <w:pPr>
              <w:pStyle w:val="TableContents"/>
              <w:bidi w:val="0"/>
              <w:spacing w:before="0" w:after="0"/>
              <w:ind w:left="0" w:right="0" w:hanging="0"/>
              <w:jc w:val="center"/>
              <w:rPr/>
            </w:pPr>
            <w:r>
              <w:rPr>
                <w:rStyle w:val="StrongEmphasis"/>
                <w:rFonts w:ascii="times new roman" w:hAnsi="times new roman"/>
                <w:sz w:val="20"/>
              </w:rPr>
              <w:t>Shares</w:t>
            </w:r>
          </w:p>
        </w:tc>
        <w:tc>
          <w:tcPr>
            <w:tcW w:w="126"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Weighted </w:t>
            </w:r>
          </w:p>
          <w:p>
            <w:pPr>
              <w:pStyle w:val="TableContents"/>
              <w:bidi w:val="0"/>
              <w:spacing w:before="0" w:after="0"/>
              <w:ind w:left="0" w:right="0" w:hanging="0"/>
              <w:jc w:val="center"/>
              <w:rPr/>
            </w:pPr>
            <w:r>
              <w:rPr>
                <w:rStyle w:val="StrongEmphasis"/>
                <w:rFonts w:ascii="times new roman" w:hAnsi="times new roman"/>
                <w:sz w:val="20"/>
              </w:rPr>
              <w:t xml:space="preserve">Average Exercise </w:t>
            </w:r>
          </w:p>
          <w:p>
            <w:pPr>
              <w:pStyle w:val="TableContents"/>
              <w:bidi w:val="0"/>
              <w:spacing w:before="0" w:after="0"/>
              <w:ind w:left="0" w:right="0" w:hanging="0"/>
              <w:jc w:val="center"/>
              <w:rPr/>
            </w:pPr>
            <w:r>
              <w:rPr>
                <w:rStyle w:val="StrongEmphasis"/>
                <w:rFonts w:ascii="times new roman" w:hAnsi="times new roman"/>
                <w:sz w:val="20"/>
              </w:rPr>
              <w:t>Price</w:t>
            </w:r>
          </w:p>
        </w:tc>
        <w:tc>
          <w:tcPr>
            <w:tcW w:w="135" w:type="dxa"/>
            <w:tcBorders/>
            <w:vAlign w:val="center"/>
          </w:tcPr>
          <w:p>
            <w:pPr>
              <w:pStyle w:val="TableContents"/>
              <w:bidi w:val="0"/>
              <w:spacing w:before="0" w:after="0"/>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jc w:val="right"/>
              <w:rPr/>
            </w:pPr>
            <w:r>
              <w:rPr/>
              <w:t>23,373</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40.13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cancelled/forfeited</w:t>
            </w:r>
          </w:p>
        </w:tc>
        <w:tc>
          <w:tcPr>
            <w:tcW w:w="90" w:type="dxa"/>
            <w:tcBorders/>
            <w:shd w:fill="FFFFFF" w:val="clear"/>
            <w:vAlign w:val="center"/>
          </w:tcPr>
          <w:p>
            <w:pPr>
              <w:pStyle w:val="TableContents"/>
              <w:bidi w:val="0"/>
              <w:spacing w:before="0" w:after="0"/>
              <w:ind w:left="0" w:right="0" w:hanging="0"/>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jc w:val="right"/>
              <w:rPr/>
            </w:pPr>
            <w:r>
              <w:rPr/>
              <w:t>(709</w:t>
            </w:r>
          </w:p>
        </w:tc>
        <w:tc>
          <w:tcPr>
            <w:tcW w:w="126"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single" w:sz="2" w:space="0" w:color="000000"/>
            </w:tcBorders>
            <w:shd w:fill="FFFFFF" w:val="clear"/>
            <w:tcMar>
              <w:bottom w:w="28" w:type="dxa"/>
            </w:tcMar>
            <w:vAlign w:val="center"/>
          </w:tcPr>
          <w:p>
            <w:pPr>
              <w:pStyle w:val="TableContents"/>
              <w:bidi w:val="0"/>
              <w:spacing w:before="0" w:after="283"/>
              <w:jc w:val="right"/>
              <w:rPr/>
            </w:pPr>
            <w:r>
              <w:rPr/>
              <w:t>23.60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June 30, 2023</w:t>
            </w:r>
          </w:p>
        </w:tc>
        <w:tc>
          <w:tcPr>
            <w:tcW w:w="90"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jc w:val="right"/>
              <w:rPr/>
            </w:pPr>
            <w:r>
              <w:rPr/>
              <w:t>22,664</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40.64</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chose the “straight-line” attribution method for allocating compensation costs of each stock option over the requisite service period using the Black-Scholes Option Pricing Model to calculate the grant date 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recorded compensation expense for these stock options grants of $7,867 and $15,734 for the three and six months ended June 30, 2023,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June 30, 2023, there were unrecognized compensation costs of approximately $17,613 related to non-vested stock option awards under the 2016 Plan that will be recognized on a straight-line basis over the weighted average remaining vesting period of 0.51 years.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1999 Stock Plan, as Amended and Restated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10,000 shares, up from 750 previously authorized. On September 15, 2015, the Company’s stockholders approved an additional amendment to the 1999 Plan which increased the number of shares of common stock authorized for issuance under the 1999 Plan to a total of 12,500 shares, up from 10,000 previously authorized. The 1999 Plan expired on June 17, 2018 and no new grants may be made under that plan after that date. However, unexpired awards granted under the 1999 Plan remain outstanding and subject to the terms of the 1999 Plan.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1999 Plan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summarizes the outstanding stock options under the 1999 Plan for the six months ended June 30, 2023:</w:t>
      </w:r>
    </w:p>
    <w:p>
      <w:pPr>
        <w:pStyle w:val="TextBody"/>
        <w:bidi w:val="0"/>
        <w:spacing w:before="0" w:after="0"/>
        <w:ind w:left="0" w:right="0" w:hanging="0"/>
        <w:jc w:val="both"/>
        <w:rPr/>
      </w:pPr>
      <w:r>
        <w:rPr/>
        <w:t> </w:t>
      </w:r>
    </w:p>
    <w:tbl>
      <w:tblPr>
        <w:tblW w:w="5733" w:type="dxa"/>
        <w:jc w:val="left"/>
        <w:tblInd w:w="0" w:type="dxa"/>
        <w:tblLayout w:type="fixed"/>
        <w:tblCellMar>
          <w:top w:w="0" w:type="dxa"/>
          <w:left w:w="0" w:type="dxa"/>
          <w:bottom w:w="0" w:type="dxa"/>
          <w:right w:w="0" w:type="dxa"/>
        </w:tblCellMar>
      </w:tblPr>
      <w:tblGrid>
        <w:gridCol w:w="2705"/>
        <w:gridCol w:w="90"/>
        <w:gridCol w:w="154"/>
        <w:gridCol w:w="840"/>
        <w:gridCol w:w="125"/>
        <w:gridCol w:w="90"/>
        <w:gridCol w:w="255"/>
        <w:gridCol w:w="1339"/>
        <w:gridCol w:w="135"/>
      </w:tblGrid>
      <w:tr>
        <w:trPr/>
        <w:tc>
          <w:tcPr>
            <w:tcW w:w="27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803"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Outstanding Options</w:t>
            </w:r>
          </w:p>
        </w:tc>
        <w:tc>
          <w:tcPr>
            <w:tcW w:w="135" w:type="dxa"/>
            <w:tcBorders/>
            <w:vAlign w:val="center"/>
          </w:tcPr>
          <w:p>
            <w:pPr>
              <w:pStyle w:val="TableContents"/>
              <w:bidi w:val="0"/>
              <w:spacing w:before="0" w:after="0"/>
              <w:ind w:left="0" w:right="0" w:hanging="0"/>
              <w:jc w:val="left"/>
              <w:rPr/>
            </w:pPr>
            <w:r>
              <w:rPr/>
              <w:t> </w:t>
            </w:r>
          </w:p>
        </w:tc>
      </w:tr>
      <w:tr>
        <w:trPr/>
        <w:tc>
          <w:tcPr>
            <w:tcW w:w="27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Number of </w:t>
            </w:r>
          </w:p>
          <w:p>
            <w:pPr>
              <w:pStyle w:val="TableContents"/>
              <w:bidi w:val="0"/>
              <w:spacing w:before="0" w:after="0"/>
              <w:ind w:left="0" w:right="0" w:hanging="0"/>
              <w:jc w:val="center"/>
              <w:rPr/>
            </w:pPr>
            <w:r>
              <w:rPr>
                <w:rStyle w:val="StrongEmphasis"/>
                <w:rFonts w:ascii="times new roman" w:hAnsi="times new roman"/>
                <w:sz w:val="20"/>
              </w:rPr>
              <w:t>Shares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Weighted </w:t>
            </w:r>
          </w:p>
          <w:p>
            <w:pPr>
              <w:pStyle w:val="TableContents"/>
              <w:bidi w:val="0"/>
              <w:spacing w:before="0" w:after="0"/>
              <w:ind w:left="0" w:right="0" w:hanging="0"/>
              <w:jc w:val="center"/>
              <w:rPr/>
            </w:pPr>
            <w:r>
              <w:rPr>
                <w:rStyle w:val="StrongEmphasis"/>
                <w:rFonts w:ascii="times new roman" w:hAnsi="times new roman"/>
                <w:sz w:val="20"/>
              </w:rPr>
              <w:t xml:space="preserve">Average Exercise </w:t>
            </w:r>
          </w:p>
          <w:p>
            <w:pPr>
              <w:pStyle w:val="TableContents"/>
              <w:bidi w:val="0"/>
              <w:spacing w:before="0" w:after="0"/>
              <w:ind w:left="0" w:right="0" w:hanging="0"/>
              <w:jc w:val="center"/>
              <w:rPr/>
            </w:pPr>
            <w:r>
              <w:rPr>
                <w:rStyle w:val="StrongEmphasis"/>
                <w:rFonts w:ascii="times new roman" w:hAnsi="times new roman"/>
                <w:sz w:val="20"/>
              </w:rPr>
              <w:t>Price</w:t>
            </w:r>
          </w:p>
        </w:tc>
        <w:tc>
          <w:tcPr>
            <w:tcW w:w="135" w:type="dxa"/>
            <w:tcBorders/>
            <w:vAlign w:val="center"/>
          </w:tcPr>
          <w:p>
            <w:pPr>
              <w:pStyle w:val="TableContents"/>
              <w:bidi w:val="0"/>
              <w:spacing w:before="0" w:after="0"/>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283"/>
              <w:jc w:val="right"/>
              <w:rPr/>
            </w:pPr>
            <w:r>
              <w:rPr/>
              <w:t>936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283"/>
              <w:jc w:val="left"/>
              <w:rPr/>
            </w:pPr>
            <w:r>
              <w:rPr/>
              <w:t>$</w:t>
            </w:r>
          </w:p>
        </w:tc>
        <w:tc>
          <w:tcPr>
            <w:tcW w:w="1339" w:type="dxa"/>
            <w:tcBorders/>
            <w:shd w:fill="CCEEFF" w:val="clear"/>
            <w:vAlign w:val="center"/>
          </w:tcPr>
          <w:p>
            <w:pPr>
              <w:pStyle w:val="TableContents"/>
              <w:bidi w:val="0"/>
              <w:spacing w:before="0" w:after="283"/>
              <w:jc w:val="right"/>
              <w:rPr/>
            </w:pPr>
            <w:r>
              <w:rPr/>
              <w:t>1,122.75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cancelled/forfeited</w:t>
            </w:r>
          </w:p>
        </w:tc>
        <w:tc>
          <w:tcPr>
            <w:tcW w:w="9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jc w:val="right"/>
              <w:rPr/>
            </w:pPr>
            <w:r>
              <w:rPr/>
              <w:t>(240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1339" w:type="dxa"/>
            <w:tcBorders>
              <w:bottom w:val="single" w:sz="2" w:space="0" w:color="000000"/>
            </w:tcBorders>
            <w:shd w:fill="FFFFFF" w:val="clear"/>
            <w:tcMar>
              <w:bottom w:w="28" w:type="dxa"/>
            </w:tcMar>
            <w:vAlign w:val="center"/>
          </w:tcPr>
          <w:p>
            <w:pPr>
              <w:pStyle w:val="TableContents"/>
              <w:bidi w:val="0"/>
              <w:spacing w:before="0" w:after="283"/>
              <w:jc w:val="right"/>
              <w:rPr/>
            </w:pPr>
            <w:r>
              <w:rPr/>
              <w:t>1,253.83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Balances at June 30, 2023</w:t>
            </w:r>
          </w:p>
        </w:tc>
        <w:tc>
          <w:tcPr>
            <w:tcW w:w="90"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283"/>
              <w:jc w:val="right"/>
              <w:rPr/>
            </w:pPr>
            <w:r>
              <w:rPr/>
              <w:t>696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283"/>
              <w:jc w:val="left"/>
              <w:rPr/>
            </w:pPr>
            <w:r>
              <w:rPr/>
              <w:t>$</w:t>
            </w:r>
          </w:p>
        </w:tc>
        <w:tc>
          <w:tcPr>
            <w:tcW w:w="1339" w:type="dxa"/>
            <w:tcBorders/>
            <w:shd w:fill="CCEEFF" w:val="clear"/>
            <w:vAlign w:val="center"/>
          </w:tcPr>
          <w:p>
            <w:pPr>
              <w:pStyle w:val="TableContents"/>
              <w:bidi w:val="0"/>
              <w:spacing w:before="0" w:after="283"/>
              <w:jc w:val="right"/>
              <w:rPr/>
            </w:pPr>
            <w:r>
              <w:rPr/>
              <w:t>1,076.36</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chose the “straight-line” attribution method for allocating compensation costs of each stock option over the requisite service period using the Black-Scholes Option Pricing Model to calculate the grant date 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recorded no compensation expense for these stock option grants for the three and six months ended June 30, 2023 and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June 30, 2023, there were no unrecognized compensation costs related to non-vested stock option awards under the 1999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Inducement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Company granted two employment inducement stock option awards, one for 5,000 shares of common stock and the other for 12,500 shares of common stock, to its new CEO on July 6, 2021.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employment inducement stock option for 5,000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$39.40 per share, the July 6, 2021 closing price of our common stock. None of the vesting milestones were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An additional employment inducement stock option award for 12,500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$39.40 per share, the July 6, 2021 closing price of our common stock.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granted an employment inducement stock option award for 12,500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$35.60 per share, the January 15, 2021 closing price of our common stock. The estimated fair value of the inducement stock option award granted was $402,789 using a Black-Scholes option pricing model based on market prices and the following assumptions at the date of inducement option grant: risk-free interest rate of 11%, dividend yield of 0%, volatility factor for our common stock of 103.94% and an expected life of 10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Inducement stock option compensation expense totaled $24,299 and $48,595 for the three and  six months ended June 30, 2023, respectively. As of June 30, 2023, there was $386,084 of remaining unrecognized compensation expense related to these inducement stock options.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8. SUBSEQUENT EVENTS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 w:name="i2"/>
      <w:bookmarkEnd w:id="8"/>
      <w:r>
        <w:rPr>
          <w:rStyle w:val="StrongEmphasis"/>
          <w:rFonts w:ascii="times new roman" w:hAnsi="times new roman"/>
          <w:sz w:val="20"/>
        </w:rPr>
        <w:t>ITEM 2. MANAGEMENT’S DISCUSSION AND ANALYSIS OF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2022. All references in this Quarterly Report to “Tenax Therapeutics,” “we,” “our” and “us” means Tenax Therapeutics, Inc.</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 xml:space="preserve">Overview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Tenax Therapeutics, Inc. (“Tenax”)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November 13, 2013, we acquired a license granting Life Newco Inc.,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amendments to the license to include two product dose forms containing levosimendan, in capsule and solid dosage form, and a subcutaneously administered product containing levosimendan, subject to specified limitations.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January 15, 2021, we acquired 100% of the equity of PHPrecisionMed Inc., a Delaware corporation, or PHPM, with PHPM surviving as our wholly-owned subsidiary. As a result of the merger, we plan to develop and commercialize pharmaceutical products containing imatinib for the treatment of pulmonary arterial hypertension, or PAH.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Business Strategy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Having carefully considered alternatives within the ongoing strategic process announced in September 2022, and having raised capital to fund the Company through to the first quarter of 2024, the Company has recently elected to prioritize the Phase 3 testing of levosimendan, ahead of imatinib, with plans to commence a levosimendan Phase 3 study in 2023. Supporting this strategic decision are two U.S. Patents issued in March and July 2023, covering the use of IV and oral levosimendan in patients with PH-HFpEF. These patents are the second and third levosimendan patents granted to Tenax since the start of 2022. This prioritization of the Phase 3 testing of levosimendan places the start of a Phase 3 imatinib trial outside the 2023 timeframe, pending fundraising to support that trial, as well as other strategic considerations.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took steps to reduce its monthly operating expenses and conserve cash, as it commenced exploring strategic alternatives in late 2022. The Company has cancelled substantially all of its non-essential operating expenses such as consulting, its office lease, and dues and subscriptions and office supplies associated with that leased office.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Pending the outcome of our ongoing strategic process, the key elements of our business strategy are outlined below.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Efficiently conduct clinical development to establish clinical proof of principle in new indications, refine formulation, and commence Phase 3 testing of our current product candidates.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Levosimendan and imatinib have been approved and prescribed in countries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either one or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when designing and executing our research.</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u w:val="single"/>
        </w:rPr>
        <w:t>Efficiently explore new high-potential therapeutic applications, in particular where expedited regulatory pathways are available, leveraging third-party research collaborations and our</w:t>
      </w:r>
      <w:r>
        <w:rPr>
          <w:rFonts w:ascii="times new roman" w:hAnsi="times new roman"/>
          <w:sz w:val="20"/>
        </w:rPr>
        <w:t xml:space="preserve"> </w:t>
      </w:r>
      <w:r>
        <w:rPr>
          <w:rFonts w:ascii="times new roman" w:hAnsi="times new roman"/>
          <w:sz w:val="20"/>
          <w:u w:val="single"/>
        </w:rPr>
        <w:t>results from related areas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Levosimendan has shown promise in multiple disease areas in the two decades following its approval. Our own Phase 2 study and open-label extension has demonstrated that a formerly under-appreciated mechanism of action of levosimendan, its property of relaxing the venous circulation, brings about durable improvements in exercise capacity and quality of life, as well as other clinical assessments, in patients with heart failure with PH-HFpEF. We believe this patient population today has no pharmaceutical therapies available and we are committed to exploring potential clinical indications where our therapies may achieve best-in-class profile, and where we can address significant unmet medical needs.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believe these factors will support approval by the FDA of these product candidates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Tenax Therapeutics at the dose shown to be effective in a prior Phase 3 trial conducted by Novartis, allows Tenax to build on the dossier of research results already reviewed by the FDA. In order to achieve our objectives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Continue to expand our intellectual property portfolio.</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applications of our existing technologies, alone or in combination with existing therapies, as well as other product candidates.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Notice of Allowance and Patent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February 1, 2023, the Company announced it was granted a Notice of Allowance from the United States Patent and Trademark Office (USPTO) for its patent application with claims covering the use of IV levosimendan (TNX-101) in the treatment of PH-HFpEF. This patent (U.S. Patent No. 11,607,412) was issued on March 21, 2023. On July 19, 2023, the Company announced USPTO issuance of another patent, this one including claims covering the use of oral levosimendan (TNX-103) in patients with PH-HFpEF. This issued patent (U.S. Patent No. 11,701,355) provides exclusivity through December 2040. At present, Tenax Therapeutics has other patent applications pending, with additional decisions expected beyond 2023.</w:t>
      </w:r>
    </w:p>
    <w:p>
      <w:pPr>
        <w:pStyle w:val="TextBody"/>
        <w:bidi w:val="0"/>
        <w:spacing w:before="0" w:after="0"/>
        <w:ind w:left="0" w:right="0" w:hanging="0"/>
        <w:jc w:val="both"/>
        <w:rPr>
          <w:rFonts w:ascii="times new roman" w:hAnsi="times new roman"/>
          <w:sz w:val="20"/>
        </w:rPr>
      </w:pPr>
      <w:r>
        <w:rPr>
          <w:rFonts w:ascii="times new roman" w:hAnsi="times new roman"/>
          <w:sz w:val="20"/>
        </w:rPr>
        <w:t>.</w:t>
      </w:r>
    </w:p>
    <w:p>
      <w:pPr>
        <w:pStyle w:val="TextBody"/>
        <w:bidi w:val="0"/>
        <w:spacing w:before="0" w:after="0"/>
        <w:ind w:left="0" w:right="0" w:hanging="0"/>
        <w:jc w:val="both"/>
        <w:rPr/>
      </w:pPr>
      <w:r>
        <w:rPr/>
        <w:t> </w:t>
      </w:r>
      <w:r>
        <w:rPr>
          <w:rFonts w:ascii="times new roman" w:hAnsi="times new roman"/>
          <w:sz w:val="20"/>
          <w:u w:val="single"/>
        </w:rPr>
        <w:t>Enter into licensing or product co-development arrangements.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to develop a portfolio of high-quality product development opportunities, enhance our clinical development and commercialization capabilities, and increase our ability to generate value from our proprietary technologies.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we focus on our strategic process,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Historically, we have financed our operations principally through equity and debt offerings, including private placements and loans from our stockholders. Based on our current operating plan, there is substantial doubt about our ability to continue as a going concern. Management has implemented certain cost-cutting measures as described above and is actively exploring a diverse range of strategic options to help drive stockholder value including, among other things, capital raises, a sale of our Company, merger, one or more license agreements, a co-development agreement, a combination of these, or other strategic transactions; however, there is no assurance that these efforts will result in a transaction or other alternative or that any additional funding will be available. Our ability to continue as a going concern depends on our ability to raise additional capital, through the sale of equity or debt securities and through collaboration and licensing agreements, to support our future operations. If we are unable to complete a strategic transaction or secure additional capital, we may be required to curtail our research and development initiatives and take additional measures to reduce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COVID-19</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COVID-19 pandemic or similar epidemics as well as other societal/healthcare disruptions could in the future, directly or indirectly, adversely impact our ability to recruit and retain patients and principal investigators and site staff who, as healthcare providers, may have heightened exposure to or impact of such illnesses, which could negatively impact our trials, increase our operating expenses, and have a material adverse effect on our financial results. In May 2023, the World Health Organization declared that COVID-19 was no longer a global health emergency, however, any lingering impact from COVID-19 is not fully known and cannot be estimated. We will continue to assess the potential impact of the COVID-19 pandemic on our business and operations, including our clinical operations and manufacturing activities.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Financial Overview – Three Months Ended June 30, 2023</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Operating Expenses</w:t>
      </w:r>
    </w:p>
    <w:p>
      <w:pPr>
        <w:pStyle w:val="TextBody"/>
        <w:bidi w:val="0"/>
        <w:spacing w:before="0" w:after="0"/>
        <w:ind w:left="0" w:right="0" w:hanging="0"/>
        <w:jc w:val="both"/>
        <w:rPr/>
      </w:pPr>
      <w:r>
        <w:rPr>
          <w:rStyle w:val="Emphasis"/>
        </w:rPr>
        <w:t> </w:t>
      </w:r>
    </w:p>
    <w:tbl>
      <w:tblPr>
        <w:tblW w:w="8014" w:type="dxa"/>
        <w:jc w:val="left"/>
        <w:tblInd w:w="0" w:type="dxa"/>
        <w:tblLayout w:type="fixed"/>
        <w:tblCellMar>
          <w:top w:w="0" w:type="dxa"/>
          <w:left w:w="0" w:type="dxa"/>
          <w:bottom w:w="0" w:type="dxa"/>
          <w:right w:w="0" w:type="dxa"/>
        </w:tblCellMar>
      </w:tblPr>
      <w:tblGrid>
        <w:gridCol w:w="2255"/>
        <w:gridCol w:w="90"/>
        <w:gridCol w:w="170"/>
        <w:gridCol w:w="1010"/>
        <w:gridCol w:w="90"/>
        <w:gridCol w:w="90"/>
        <w:gridCol w:w="170"/>
        <w:gridCol w:w="1010"/>
        <w:gridCol w:w="90"/>
        <w:gridCol w:w="90"/>
        <w:gridCol w:w="170"/>
        <w:gridCol w:w="1085"/>
        <w:gridCol w:w="125"/>
        <w:gridCol w:w="90"/>
        <w:gridCol w:w="219"/>
        <w:gridCol w:w="895"/>
        <w:gridCol w:w="365"/>
      </w:tblGrid>
      <w:tr>
        <w:trPr/>
        <w:tc>
          <w:tcPr>
            <w:tcW w:w="22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4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Increase/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1,038,257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1,337,427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(299,170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(22</w:t>
            </w:r>
          </w:p>
        </w:tc>
        <w:tc>
          <w:tcPr>
            <w:tcW w:w="365" w:type="dxa"/>
            <w:tcBorders/>
            <w:shd w:fill="CCEEFF" w:val="clear"/>
            <w:vAlign w:val="center"/>
          </w:tcPr>
          <w:p>
            <w:pPr>
              <w:pStyle w:val="TableContents"/>
              <w:bidi w:val="0"/>
              <w:spacing w:before="0" w:after="283"/>
              <w:jc w:val="left"/>
              <w:rPr/>
            </w:pPr>
            <w:r>
              <w:rPr/>
              <w:t>)%</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197,903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1,524,465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jc w:val="right"/>
              <w:rPr/>
            </w:pPr>
            <w:r>
              <w:rPr/>
              <w:t>(1,326,562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jc w:val="right"/>
              <w:rPr/>
            </w:pPr>
            <w:r>
              <w:rPr/>
              <w:t>(87</w:t>
            </w:r>
          </w:p>
        </w:tc>
        <w:tc>
          <w:tcPr>
            <w:tcW w:w="365" w:type="dxa"/>
            <w:tcBorders/>
            <w:shd w:fill="FFFFFF" w:val="clear"/>
            <w:vAlign w:val="center"/>
          </w:tcPr>
          <w:p>
            <w:pPr>
              <w:pStyle w:val="TableContents"/>
              <w:bidi w:val="0"/>
              <w:spacing w:before="0" w:after="283"/>
              <w:jc w:val="left"/>
              <w:rPr/>
            </w:pPr>
            <w:r>
              <w:rPr/>
              <w:t>)%</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1,236,160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2,861,892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(1,625,732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(57</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General and Administrative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General and administrative expenses were $1.0 million for the three months ended June 30, 2023, compared to $1.3 million for the same period in 2022.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June 30, 2023 and 2022, respectively, are as follows:</w:t>
      </w:r>
    </w:p>
    <w:p>
      <w:pPr>
        <w:pStyle w:val="TextBody"/>
        <w:bidi w:val="0"/>
        <w:spacing w:before="0" w:after="0"/>
        <w:ind w:left="0" w:right="0" w:hanging="0"/>
        <w:jc w:val="both"/>
        <w:rPr/>
      </w:pPr>
      <w:r>
        <w:rPr/>
        <w:t> </w:t>
      </w:r>
    </w:p>
    <w:tbl>
      <w:tblPr>
        <w:tblW w:w="9064" w:type="dxa"/>
        <w:jc w:val="left"/>
        <w:tblInd w:w="0" w:type="dxa"/>
        <w:tblLayout w:type="fixed"/>
        <w:tblCellMar>
          <w:top w:w="0" w:type="dxa"/>
          <w:left w:w="0" w:type="dxa"/>
          <w:bottom w:w="0" w:type="dxa"/>
          <w:right w:w="0" w:type="dxa"/>
        </w:tblCellMar>
      </w:tblPr>
      <w:tblGrid>
        <w:gridCol w:w="3485"/>
        <w:gridCol w:w="90"/>
        <w:gridCol w:w="170"/>
        <w:gridCol w:w="1010"/>
        <w:gridCol w:w="90"/>
        <w:gridCol w:w="90"/>
        <w:gridCol w:w="170"/>
        <w:gridCol w:w="1010"/>
        <w:gridCol w:w="90"/>
        <w:gridCol w:w="90"/>
        <w:gridCol w:w="170"/>
        <w:gridCol w:w="905"/>
        <w:gridCol w:w="125"/>
        <w:gridCol w:w="90"/>
        <w:gridCol w:w="219"/>
        <w:gridCol w:w="895"/>
        <w:gridCol w:w="365"/>
      </w:tblGrid>
      <w:tr>
        <w:trPr/>
        <w:tc>
          <w:tcPr>
            <w:tcW w:w="348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4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Increase/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t> </w:t>
            </w:r>
          </w:p>
        </w:tc>
      </w:tr>
      <w:tr>
        <w:trPr/>
        <w:tc>
          <w:tcPr>
            <w:tcW w:w="348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Personnel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406,871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545,208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(138,337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(25</w:t>
            </w:r>
          </w:p>
        </w:tc>
        <w:tc>
          <w:tcPr>
            <w:tcW w:w="36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and professional fees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455,178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528,684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(73,506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283"/>
              <w:jc w:val="right"/>
              <w:rPr/>
            </w:pPr>
            <w:r>
              <w:rPr/>
              <w:t>(14</w:t>
            </w:r>
          </w:p>
        </w:tc>
        <w:tc>
          <w:tcPr>
            <w:tcW w:w="36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171,785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228,300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(56,515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(25</w:t>
            </w:r>
          </w:p>
        </w:tc>
        <w:tc>
          <w:tcPr>
            <w:tcW w:w="36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Facilities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4,423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35,235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jc w:val="right"/>
              <w:rPr/>
            </w:pPr>
            <w:r>
              <w:rPr/>
              <w:t>(30,812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jc w:val="right"/>
              <w:rPr/>
            </w:pPr>
            <w:r>
              <w:rPr/>
              <w:t>(87</w:t>
            </w:r>
          </w:p>
        </w:tc>
        <w:tc>
          <w:tcPr>
            <w:tcW w:w="36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general and administrative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1,038,257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1,337,427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t>(299,170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283"/>
              <w:jc w:val="right"/>
              <w:rPr/>
            </w:pPr>
            <w:r>
              <w:rPr/>
              <w:t>(22</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Personnel costs decreased approximately $138,000 for the three months ended June 30, 2023, compared to the same period in the prior year. The change was primarily due to decreased employment related costs due to lower headcount in the current period compared to the same period in the prior year.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Legal and professional fees decreased approximately $74,000 for the three months ended June 30, 2023, compared to the same period in the prior year. Professional fees consist of the costs incurred for accounting fees, capital market expenses, consulting fees and investor relations services, as well as fees paid to the members of our Board of Directors.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Legal fees decreased approximately $47,000 for the three months ended June 30, 2023, compared to the same period in the prior year. The change was primarily due to decreased legal fees associated with general corporate matters, fundraising activities and IP costs that were incurred during the same period in the prior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Professional fees decreased approximately $27,000 for the three months ended June 30, 2023, compared to the same period in the prior year. The change was primarily attributable to decreased investor relations and consulting fees offset by increases in capital market fees and accounting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Other costs decreased approximately $56,000 for the three months ended June 30, 2023, compared to the same period in the prior year. Other costs include expenses incurred for franchise and other taxes, travel, supplies, insurance, depreciation and other miscellaneous charges. The change was primarily attributable to decreased costs for insurance, dues, and general office supplies offset by increases in franchise and other taxes and banking fees.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Facilities costs include costs paid for rent and utilities at our corporate headquarters in North Carolina. Facilities costs decreased approximately $31,000 for the three months ended June 30, 2023, compared to the same period in the prior year. The decrease is the result of the Company’s relocation to new shared office space resulting in lower rent costs.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Research and Development Expenses</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Research and development expenses were approximately $198,000 for the three months ended June 30, 2023, compared to $1.5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June 30, 2023 and 2022, respectively, are as follows:</w:t>
      </w:r>
    </w:p>
    <w:p>
      <w:pPr>
        <w:pStyle w:val="TextBody"/>
        <w:bidi w:val="0"/>
        <w:spacing w:before="0" w:after="0"/>
        <w:ind w:left="0" w:right="0" w:hanging="0"/>
        <w:jc w:val="both"/>
        <w:rPr/>
      </w:pPr>
      <w:r>
        <w:rPr/>
        <w:t> </w:t>
      </w:r>
    </w:p>
    <w:tbl>
      <w:tblPr>
        <w:tblW w:w="9165" w:type="dxa"/>
        <w:jc w:val="left"/>
        <w:tblInd w:w="0" w:type="dxa"/>
        <w:tblLayout w:type="fixed"/>
        <w:tblCellMar>
          <w:top w:w="0" w:type="dxa"/>
          <w:left w:w="0" w:type="dxa"/>
          <w:bottom w:w="0" w:type="dxa"/>
          <w:right w:w="0" w:type="dxa"/>
        </w:tblCellMar>
      </w:tblPr>
      <w:tblGrid>
        <w:gridCol w:w="3440"/>
        <w:gridCol w:w="90"/>
        <w:gridCol w:w="180"/>
        <w:gridCol w:w="882"/>
        <w:gridCol w:w="95"/>
        <w:gridCol w:w="95"/>
        <w:gridCol w:w="180"/>
        <w:gridCol w:w="1074"/>
        <w:gridCol w:w="90"/>
        <w:gridCol w:w="90"/>
        <w:gridCol w:w="170"/>
        <w:gridCol w:w="1085"/>
        <w:gridCol w:w="125"/>
        <w:gridCol w:w="90"/>
        <w:gridCol w:w="199"/>
        <w:gridCol w:w="915"/>
        <w:gridCol w:w="365"/>
      </w:tblGrid>
      <w:tr>
        <w:trPr/>
        <w:tc>
          <w:tcPr>
            <w:tcW w:w="34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06"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Increase/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t> </w:t>
            </w:r>
          </w:p>
        </w:tc>
      </w:tr>
      <w:tr>
        <w:trPr/>
        <w:tc>
          <w:tcPr>
            <w:tcW w:w="34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95" w:type="dxa"/>
            <w:tcBorders/>
            <w:vAlign w:val="center"/>
          </w:tcPr>
          <w:p>
            <w:pPr>
              <w:pStyle w:val="TableContents"/>
              <w:bidi w:val="0"/>
              <w:spacing w:before="0" w:after="0"/>
              <w:ind w:left="0" w:right="0" w:hanging="0"/>
              <w:jc w:val="left"/>
              <w:rPr/>
            </w:pPr>
            <w:r>
              <w:rPr/>
              <w:t> </w:t>
            </w:r>
          </w:p>
        </w:tc>
        <w:tc>
          <w:tcPr>
            <w:tcW w:w="95" w:type="dxa"/>
            <w:tcBorders/>
            <w:vAlign w:val="center"/>
          </w:tcPr>
          <w:p>
            <w:pPr>
              <w:pStyle w:val="TableContents"/>
              <w:bidi w:val="0"/>
              <w:spacing w:before="0" w:after="0"/>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Clinical and preclinical development</w:t>
            </w:r>
          </w:p>
        </w:tc>
        <w:tc>
          <w:tcPr>
            <w:tcW w:w="9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57,120</w:t>
            </w:r>
          </w:p>
        </w:tc>
        <w:tc>
          <w:tcPr>
            <w:tcW w:w="95"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1,377,402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(1,320,282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283"/>
              <w:jc w:val="right"/>
              <w:rPr/>
            </w:pPr>
            <w:r>
              <w:rPr/>
              <w:t>(96</w:t>
            </w:r>
          </w:p>
        </w:tc>
        <w:tc>
          <w:tcPr>
            <w:tcW w:w="365"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Personnel costs</w:t>
            </w:r>
          </w:p>
        </w:tc>
        <w:tc>
          <w:tcPr>
            <w:tcW w:w="9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882" w:type="dxa"/>
            <w:tcBorders/>
            <w:shd w:fill="FFFFFF" w:val="clear"/>
            <w:vAlign w:val="center"/>
          </w:tcPr>
          <w:p>
            <w:pPr>
              <w:pStyle w:val="TableContents"/>
              <w:bidi w:val="0"/>
              <w:spacing w:before="0" w:after="283"/>
              <w:jc w:val="right"/>
              <w:rPr/>
            </w:pPr>
            <w:r>
              <w:rPr/>
              <w:t>97,360</w:t>
            </w:r>
          </w:p>
        </w:tc>
        <w:tc>
          <w:tcPr>
            <w:tcW w:w="95"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283"/>
              <w:jc w:val="right"/>
              <w:rPr/>
            </w:pPr>
            <w:r>
              <w:rPr/>
              <w:t>140,230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(42,870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15" w:type="dxa"/>
            <w:tcBorders/>
            <w:shd w:fill="FFFFFF" w:val="clear"/>
            <w:vAlign w:val="center"/>
          </w:tcPr>
          <w:p>
            <w:pPr>
              <w:pStyle w:val="TableContents"/>
              <w:bidi w:val="0"/>
              <w:spacing w:before="0" w:after="283"/>
              <w:jc w:val="right"/>
              <w:rPr/>
            </w:pPr>
            <w:r>
              <w:rPr/>
              <w:t>(31</w:t>
            </w:r>
          </w:p>
        </w:tc>
        <w:tc>
          <w:tcPr>
            <w:tcW w:w="365" w:type="dxa"/>
            <w:tcBorders/>
            <w:shd w:fill="FFFFFF" w:val="clear"/>
            <w:vAlign w:val="center"/>
          </w:tcPr>
          <w:p>
            <w:pPr>
              <w:pStyle w:val="TableContents"/>
              <w:bidi w:val="0"/>
              <w:spacing w:before="0" w:after="283"/>
              <w:jc w:val="left"/>
              <w:rPr/>
            </w:pPr>
            <w:r>
              <w:rPr/>
              <w:t>)%</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costs</w:t>
            </w:r>
          </w:p>
        </w:tc>
        <w:tc>
          <w:tcPr>
            <w:tcW w:w="90"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jc w:val="right"/>
              <w:rPr/>
            </w:pPr>
            <w:r>
              <w:rPr/>
              <w:t>43,423</w:t>
            </w:r>
          </w:p>
        </w:tc>
        <w:tc>
          <w:tcPr>
            <w:tcW w:w="95"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jc w:val="right"/>
              <w:rPr/>
            </w:pPr>
            <w:r>
              <w:rPr/>
              <w:t>6,833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36,590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jc w:val="right"/>
              <w:rPr/>
            </w:pPr>
            <w:r>
              <w:rPr/>
              <w:t>535</w:t>
            </w:r>
          </w:p>
        </w:tc>
        <w:tc>
          <w:tcPr>
            <w:tcW w:w="365"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882"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15"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research and development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197,903</w:t>
            </w:r>
          </w:p>
        </w:tc>
        <w:tc>
          <w:tcPr>
            <w:tcW w:w="95"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1,524,465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(1,326,562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283"/>
              <w:jc w:val="right"/>
              <w:rPr/>
            </w:pPr>
            <w:r>
              <w:rPr/>
              <w:t>(87</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Clinical and preclinical development costs decreased approximately $1.3 million for the three months ended June 30, 2023 compared to the same period in the prior year. Clinical and preclinical development costs for the three months ended June 30, 2023 consist of expenses associated with our Phase 2 HELP Open Label Extension Study for levosimendan, compared with costs for the three months ended June 30, 22 associated with our imatinib Phase 1 Pharmacokinetics Study, imatinib Phase 3 IMPROVE Study, and development costs associated with the formulation for imatinib. The decrease is primarily attributable to the receipt of refunded costs associated with formulation development and Phase 1 and Phase 3 costs for imatinib since the Company paused clinical development activities for this product candidate to focus on its strategic process, which culminated in its February 2023 public offering.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Personnel costs decreased approximately $43,000 for the three months ended June 30, 2023, compared to the same period in the prior year, primarily attributable to the timing of general employment costs.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Other costs increased approximately $37,000 for the three months ended June 30, 2023, compared to the same period in the prior year, primarily attributable to increased regulatory consulting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Other Income and Expense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Other income and expense include non-operating income and expense items not otherwise recorded in our consolidated statement of comprehensive loss. These items include but are not limited to interest income earned and fixed asset disposals. Interest expense increased approximately $7,600 for the three months ended June 30, 2023, compared to the same period in the prior year. The change is due primarily to interest expense paid on the premium finance note agreement (the “Note”) with Premium Funding Associates, Inc. Other income increased approximately $137,000 primarily related to interest income on cash deposits as a result of the February 2023 offering.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Financial Overview – Six Months Ended June 30, 2023</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Operating Expenses</w:t>
      </w:r>
    </w:p>
    <w:p>
      <w:pPr>
        <w:pStyle w:val="TextBody"/>
        <w:bidi w:val="0"/>
        <w:spacing w:before="0" w:after="0"/>
        <w:ind w:left="0" w:right="0" w:hanging="0"/>
        <w:jc w:val="both"/>
        <w:rPr/>
      </w:pPr>
      <w:r>
        <w:rPr>
          <w:rStyle w:val="Emphasis"/>
        </w:rPr>
        <w:t> </w:t>
      </w:r>
    </w:p>
    <w:tbl>
      <w:tblPr>
        <w:tblW w:w="8014" w:type="dxa"/>
        <w:jc w:val="left"/>
        <w:tblInd w:w="0" w:type="dxa"/>
        <w:tblLayout w:type="fixed"/>
        <w:tblCellMar>
          <w:top w:w="0" w:type="dxa"/>
          <w:left w:w="0" w:type="dxa"/>
          <w:bottom w:w="0" w:type="dxa"/>
          <w:right w:w="0" w:type="dxa"/>
        </w:tblCellMar>
      </w:tblPr>
      <w:tblGrid>
        <w:gridCol w:w="2255"/>
        <w:gridCol w:w="90"/>
        <w:gridCol w:w="170"/>
        <w:gridCol w:w="1010"/>
        <w:gridCol w:w="90"/>
        <w:gridCol w:w="90"/>
        <w:gridCol w:w="170"/>
        <w:gridCol w:w="1010"/>
        <w:gridCol w:w="90"/>
        <w:gridCol w:w="90"/>
        <w:gridCol w:w="170"/>
        <w:gridCol w:w="1085"/>
        <w:gridCol w:w="125"/>
        <w:gridCol w:w="90"/>
        <w:gridCol w:w="219"/>
        <w:gridCol w:w="895"/>
        <w:gridCol w:w="365"/>
      </w:tblGrid>
      <w:tr>
        <w:trPr/>
        <w:tc>
          <w:tcPr>
            <w:tcW w:w="22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4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Increase/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2,311,987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2,878,171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(566,184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(20</w:t>
            </w:r>
          </w:p>
        </w:tc>
        <w:tc>
          <w:tcPr>
            <w:tcW w:w="365" w:type="dxa"/>
            <w:tcBorders/>
            <w:shd w:fill="CCEEFF" w:val="clear"/>
            <w:vAlign w:val="center"/>
          </w:tcPr>
          <w:p>
            <w:pPr>
              <w:pStyle w:val="TableContents"/>
              <w:bidi w:val="0"/>
              <w:spacing w:before="0" w:after="283"/>
              <w:jc w:val="left"/>
              <w:rPr/>
            </w:pPr>
            <w:r>
              <w:rPr/>
              <w:t>)%</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463,637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2,702,360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jc w:val="right"/>
              <w:rPr/>
            </w:pPr>
            <w:r>
              <w:rPr/>
              <w:t>(2,238,723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jc w:val="right"/>
              <w:rPr/>
            </w:pPr>
            <w:r>
              <w:rPr/>
              <w:t>(83</w:t>
            </w:r>
          </w:p>
        </w:tc>
        <w:tc>
          <w:tcPr>
            <w:tcW w:w="365" w:type="dxa"/>
            <w:tcBorders/>
            <w:shd w:fill="FFFFFF" w:val="clear"/>
            <w:vAlign w:val="center"/>
          </w:tcPr>
          <w:p>
            <w:pPr>
              <w:pStyle w:val="TableContents"/>
              <w:bidi w:val="0"/>
              <w:spacing w:before="0" w:after="283"/>
              <w:jc w:val="left"/>
              <w:rPr/>
            </w:pPr>
            <w:r>
              <w:rPr/>
              <w:t>)%</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2,775,624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5,580,531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(2,804,907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(50</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General and Administrative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General and administrative expenses were $2.3 million for the six months ended June 30, 2023, compared to $2.9 million for the same period in 2022.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six months ended June 30, 2023 and 2022, respectively, are as follows:</w:t>
      </w:r>
    </w:p>
    <w:p>
      <w:pPr>
        <w:pStyle w:val="TextBody"/>
        <w:bidi w:val="0"/>
        <w:spacing w:before="0" w:after="0"/>
        <w:ind w:left="0" w:right="0" w:hanging="0"/>
        <w:jc w:val="both"/>
        <w:rPr/>
      </w:pPr>
      <w:r>
        <w:rPr/>
        <w:t> </w:t>
      </w:r>
    </w:p>
    <w:tbl>
      <w:tblPr>
        <w:tblW w:w="9064" w:type="dxa"/>
        <w:jc w:val="left"/>
        <w:tblInd w:w="0" w:type="dxa"/>
        <w:tblLayout w:type="fixed"/>
        <w:tblCellMar>
          <w:top w:w="0" w:type="dxa"/>
          <w:left w:w="0" w:type="dxa"/>
          <w:bottom w:w="0" w:type="dxa"/>
          <w:right w:w="0" w:type="dxa"/>
        </w:tblCellMar>
      </w:tblPr>
      <w:tblGrid>
        <w:gridCol w:w="3485"/>
        <w:gridCol w:w="90"/>
        <w:gridCol w:w="170"/>
        <w:gridCol w:w="1010"/>
        <w:gridCol w:w="90"/>
        <w:gridCol w:w="90"/>
        <w:gridCol w:w="170"/>
        <w:gridCol w:w="1010"/>
        <w:gridCol w:w="90"/>
        <w:gridCol w:w="90"/>
        <w:gridCol w:w="170"/>
        <w:gridCol w:w="905"/>
        <w:gridCol w:w="125"/>
        <w:gridCol w:w="90"/>
        <w:gridCol w:w="219"/>
        <w:gridCol w:w="895"/>
        <w:gridCol w:w="365"/>
      </w:tblGrid>
      <w:tr>
        <w:trPr/>
        <w:tc>
          <w:tcPr>
            <w:tcW w:w="348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4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Increase/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t> </w:t>
            </w:r>
          </w:p>
        </w:tc>
      </w:tr>
      <w:tr>
        <w:trPr/>
        <w:tc>
          <w:tcPr>
            <w:tcW w:w="348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Personnel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1,006,927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1,127,915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(120,988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(11</w:t>
            </w:r>
          </w:p>
        </w:tc>
        <w:tc>
          <w:tcPr>
            <w:tcW w:w="36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and professional fees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886,900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1,250,232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(363,332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283"/>
              <w:jc w:val="right"/>
              <w:rPr/>
            </w:pPr>
            <w:r>
              <w:rPr/>
              <w:t>(29</w:t>
            </w:r>
          </w:p>
        </w:tc>
        <w:tc>
          <w:tcPr>
            <w:tcW w:w="36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395,354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426,147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(30,793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(7</w:t>
            </w:r>
          </w:p>
        </w:tc>
        <w:tc>
          <w:tcPr>
            <w:tcW w:w="36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Facilities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22,806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73,877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jc w:val="right"/>
              <w:rPr/>
            </w:pPr>
            <w:r>
              <w:rPr/>
              <w:t>(51,071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jc w:val="right"/>
              <w:rPr/>
            </w:pPr>
            <w:r>
              <w:rPr/>
              <w:t>(69</w:t>
            </w:r>
          </w:p>
        </w:tc>
        <w:tc>
          <w:tcPr>
            <w:tcW w:w="36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general and administrative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2,311,987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2,878,171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t>(566,184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283"/>
              <w:jc w:val="right"/>
              <w:rPr/>
            </w:pPr>
            <w:r>
              <w:rPr/>
              <w:t>(20</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Personnel costs decreased approximately $121,000 for the six months ended June 30, 2023, compared to the same period in the prior year. The change was primarily due to decreased employment related costs in the current period compared to the same period in the prior year.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Legal and professional fees decreased approximately $363,000 for the six months ended June 30, 2023, compared to the same period in the prior year. Professional fees consist of the costs incurred for accounting fees, capital market expenses, consulting fees and investor relations services, as well as fees paid to the members of our Board of Directors.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Legal fees decreased approximately $311,000 for the six months ended June 30, 2023, compared to the same period in the prior year. The change was primarily due to decreased legal fees associated with general corporate matters, fundraising activities and IP costs that were incurred during the same period in the prior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Professional fees decreased approximately $52,000 for the six months ended June 30, 2023, compared to the same period in the prior year. The decrease was primarily attributable to decreased investor relations and consulting fees offset by increases in capital market fees and accounting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Other costs decreased approximately $31,000 for the six months ended June 30, 2023, compared to the same period in the prior year. Other costs include expenses incurred for franchise and other taxes, travel, supplies, insurance, depreciation and other miscellaneous charges. The change was primarily attributable to decreased costs for travel, dues, taxes and general office supplies offset by increased costs for insurance.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Facilities costs include costs paid for rent and utilities at our corporate headquarters in North Carolina. Facilities costs decreased approximately $51,000 for the six months ended June 30, 2023, compared to the same period in the prior year. The decrease is the result of the Company’s relocation to new shared office space resulting in lower rent costs.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Research and Development Expenses</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Research and development expenses were $464,000 for the six months ended June 30, 2023, compared to $2.7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six months ended June 30, 2023 and 2022, respectively, are as follows:</w:t>
      </w:r>
    </w:p>
    <w:p>
      <w:pPr>
        <w:pStyle w:val="TextBody"/>
        <w:bidi w:val="0"/>
        <w:spacing w:before="0" w:after="0"/>
        <w:ind w:left="0" w:right="0" w:hanging="0"/>
        <w:jc w:val="both"/>
        <w:rPr/>
      </w:pPr>
      <w:r>
        <w:rPr/>
        <w:t> </w:t>
      </w:r>
    </w:p>
    <w:tbl>
      <w:tblPr>
        <w:tblW w:w="9019" w:type="dxa"/>
        <w:jc w:val="left"/>
        <w:tblInd w:w="0" w:type="dxa"/>
        <w:tblLayout w:type="fixed"/>
        <w:tblCellMar>
          <w:top w:w="0" w:type="dxa"/>
          <w:left w:w="0" w:type="dxa"/>
          <w:bottom w:w="0" w:type="dxa"/>
          <w:right w:w="0" w:type="dxa"/>
        </w:tblCellMar>
      </w:tblPr>
      <w:tblGrid>
        <w:gridCol w:w="3440"/>
        <w:gridCol w:w="90"/>
        <w:gridCol w:w="170"/>
        <w:gridCol w:w="830"/>
        <w:gridCol w:w="90"/>
        <w:gridCol w:w="90"/>
        <w:gridCol w:w="170"/>
        <w:gridCol w:w="1010"/>
        <w:gridCol w:w="90"/>
        <w:gridCol w:w="90"/>
        <w:gridCol w:w="170"/>
        <w:gridCol w:w="1085"/>
        <w:gridCol w:w="125"/>
        <w:gridCol w:w="90"/>
        <w:gridCol w:w="199"/>
        <w:gridCol w:w="915"/>
        <w:gridCol w:w="365"/>
      </w:tblGrid>
      <w:tr>
        <w:trPr/>
        <w:tc>
          <w:tcPr>
            <w:tcW w:w="34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6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Increase/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t> </w:t>
            </w:r>
          </w:p>
        </w:tc>
      </w:tr>
      <w:tr>
        <w:trPr/>
        <w:tc>
          <w:tcPr>
            <w:tcW w:w="34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Clinical and preclinical development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141,152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2,374,901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(2,233,749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283"/>
              <w:jc w:val="right"/>
              <w:rPr/>
            </w:pPr>
            <w:r>
              <w:rPr/>
              <w:t>(94</w:t>
            </w:r>
          </w:p>
        </w:tc>
        <w:tc>
          <w:tcPr>
            <w:tcW w:w="365"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Personnel costs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268,727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319,537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(50,810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15" w:type="dxa"/>
            <w:tcBorders/>
            <w:shd w:fill="FFFFFF" w:val="clear"/>
            <w:vAlign w:val="center"/>
          </w:tcPr>
          <w:p>
            <w:pPr>
              <w:pStyle w:val="TableContents"/>
              <w:bidi w:val="0"/>
              <w:spacing w:before="0" w:after="283"/>
              <w:jc w:val="right"/>
              <w:rPr/>
            </w:pPr>
            <w:r>
              <w:rPr/>
              <w:t>(16</w:t>
            </w:r>
          </w:p>
        </w:tc>
        <w:tc>
          <w:tcPr>
            <w:tcW w:w="365" w:type="dxa"/>
            <w:tcBorders/>
            <w:shd w:fill="FFFFFF" w:val="clear"/>
            <w:vAlign w:val="center"/>
          </w:tcPr>
          <w:p>
            <w:pPr>
              <w:pStyle w:val="TableContents"/>
              <w:bidi w:val="0"/>
              <w:spacing w:before="0" w:after="283"/>
              <w:jc w:val="left"/>
              <w:rPr/>
            </w:pPr>
            <w:r>
              <w:rPr/>
              <w:t>)%</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53,758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7,922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45,836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jc w:val="right"/>
              <w:rPr/>
            </w:pPr>
            <w:r>
              <w:rPr/>
              <w:t>579</w:t>
            </w:r>
          </w:p>
        </w:tc>
        <w:tc>
          <w:tcPr>
            <w:tcW w:w="365"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15"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research and development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463,637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2,702,360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(2,238,723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283"/>
              <w:jc w:val="right"/>
              <w:rPr/>
            </w:pPr>
            <w:r>
              <w:rPr/>
              <w:t>(83</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Clinical and preclinical development costs decreased approximately $2.2 million for the six months ended June 30, 2023 compared to the same period in the prior year. Clinical and preclinical development costs for the six months ended June 30, 2023 consist of expenses associated with our Phase 2 HELP Open Label Extension Study for levosimendan, compared with costs for the six months ended June 30, 2022 associated with our imatinib Phase 1 Pharmacokinetics Study, imatinib Phase 3 IMPROVE Study, and development costs associated with the formulation for imatinib. The decrease is primarily attributable to the receipt of refunded costs associated with formulation development, Phase 1 and Phase 3 costs associated with imatinib since the Company paused clinical development activities to focus on its strategic process, which generated its February 2023 public offering.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Personnel costs decreased approximately $51,000 for the six months ended June 30, 2023, compared to the same period in the prior year, primarily attributable to the timing of general employment costs.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Other costs increased approximately $46,000 for the six months ended June 30, 2023, compared to the same period in the prior year, primarily attributable to increased regulatory consulting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Other Income and Expense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Other income and expense include non-operating income and expense items not otherwise recorded in our consolidated statement of comprehensive loss. These items include but are not limited to interest income earned and fixed asset disposals. Interest expense increased approximately $12,000 for the six months ended June 30, 2023, compared to the same period in the prior year. This increase is due primarily to interest expense paid on the Note. Other income increased $277,000 primarily related to interest income earned on higher cash balances resulting from our securities offering offset, offset by the lease loss of $140,000.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Liquidity, Capital Resources and Plan of Operation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have incurred losses since our inception and, as of June 30, 2023, we had an accumulated deficit of approximately $292.1 million. We will continue to incur losses until we generate sufficient revenue to offset our expenses, and we anticipate we will continue to incur net losses for at least the next several years. We expect to incur additional expenses related to our development and potential commercialization of levosimendan and imatinib for pulmonary hypertension and other potential indications, as well as identifying and developing other potential product candidates, and as a result, we will need to generate significant net product sales, royalty and other revenues to achieve profitability.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Liquidity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have financed our operations since September 1990 through the issuance of debt and equity securities and loans from stockholders. We had total current assets of approximately $14.0 million and $3.4 million and working capital of approximately $13.2 million and $1.4 million as of June 30, 2023 and December 31, 2022, respectively. Our practice is to invest excess cash, where available, in short-term money market investment instruments and high quality corporate and government bonds.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Clinical and Preclinical Product Development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recently completed the open label extension phase of the levosimendan HELP clinical trial, during which patients were transitioned from an intravenous to oral formulation of levosimendan for the treatment of pulmonary hypertension. We are developing a new formulation of imatinib. Our ability to continue to pursue development of our products beyond the first quarter of calendar year 2024 will depend on obtaining license income or outside financial resources. There is no assurance that we will obtain any license agreement or outside financing or that we will otherwise succeed in obtaining any necessary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COVID-19 pandemic or a similar epidemic could in the future, directly or indirectly, adversely affect our ability to recruit and retain patients and principal investigators and site staff who, as healthcare providers, may have heightened exposure to or impact from respiratory illnesses or other similar widespread infections if an outbreak occurs in their geography. Further, some patients may be unable to comply with clinical trial protocols if quarantines or travel restrictions impede patient movement or interrupt healthcare services, or if the patients become infected with COVID-19 or a similar disease themselves, which would delay our ability to complete our clinical trials or release clinical trial results.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Financings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February 3, 2023, we sold in a registered public offering (i) an aggregate of 6,959,444 shares of our common stock and pre-funded warrants to purchase an aggregate of 1,707,222 shares of our common stock and (ii) accompanying warrants to purchase up to an aggregate of 17,333,332 shares of our common stock at a combined offering price of $1.80 per share of common stock and associated warrant, or $1.799 per pre-funded warrant and associated warrant, resulting in gross proceeds to the Company of approximately $15.6 million. Net proceeds of the offering were approximately $13.6 million, after deducting the placement agent fees and offering expenses payable by the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May 17, 2022, we sold 529,802 units in a private placement at a purchase price of $15.50 per unit for net proceeds of approximately $7.9 million. Each unit consisted of one unregistered pre-funded warrant to purchase one share of our common stock and one unregistered warrant to purchase one share of common stock.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r>
        <w:rPr>
          <w:rStyle w:val="Emphasis"/>
          <w:rFonts w:ascii="times new roman" w:hAnsi="times new roman"/>
          <w:sz w:val="20"/>
        </w:rPr>
        <w:t>Cash Flows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shows a summary of our cash flows for the periods indicated:</w:t>
      </w:r>
    </w:p>
    <w:p>
      <w:pPr>
        <w:pStyle w:val="TextBody"/>
        <w:bidi w:val="0"/>
        <w:spacing w:before="0" w:after="0"/>
        <w:ind w:left="0" w:right="0" w:hanging="0"/>
        <w:jc w:val="both"/>
        <w:rPr/>
      </w:pPr>
      <w:r>
        <w:rPr/>
        <w:t> </w:t>
      </w:r>
    </w:p>
    <w:tbl>
      <w:tblPr>
        <w:tblW w:w="7175" w:type="dxa"/>
        <w:jc w:val="left"/>
        <w:tblInd w:w="0" w:type="dxa"/>
        <w:tblLayout w:type="fixed"/>
        <w:tblCellMar>
          <w:top w:w="0" w:type="dxa"/>
          <w:left w:w="0" w:type="dxa"/>
          <w:bottom w:w="0" w:type="dxa"/>
          <w:right w:w="0" w:type="dxa"/>
        </w:tblCellMar>
      </w:tblPr>
      <w:tblGrid>
        <w:gridCol w:w="4145"/>
        <w:gridCol w:w="90"/>
        <w:gridCol w:w="170"/>
        <w:gridCol w:w="1130"/>
        <w:gridCol w:w="125"/>
        <w:gridCol w:w="90"/>
        <w:gridCol w:w="170"/>
        <w:gridCol w:w="1085"/>
        <w:gridCol w:w="170"/>
      </w:tblGrid>
      <w:tr>
        <w:trPr/>
        <w:tc>
          <w:tcPr>
            <w:tcW w:w="4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170" w:type="dxa"/>
            <w:tcBorders/>
            <w:vAlign w:val="center"/>
          </w:tcPr>
          <w:p>
            <w:pPr>
              <w:pStyle w:val="TableContents"/>
              <w:bidi w:val="0"/>
              <w:spacing w:before="0" w:after="0"/>
              <w:ind w:left="0" w:right="0" w:hanging="0"/>
              <w:jc w:val="left"/>
              <w:rPr/>
            </w:pPr>
            <w:r>
              <w:rPr/>
              <w:t> </w:t>
            </w:r>
          </w:p>
        </w:tc>
      </w:tr>
      <w:tr>
        <w:trPr/>
        <w:tc>
          <w:tcPr>
            <w:tcW w:w="4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70" w:type="dxa"/>
            <w:tcBorders/>
            <w:vAlign w:val="center"/>
          </w:tcPr>
          <w:p>
            <w:pPr>
              <w:pStyle w:val="TableContents"/>
              <w:bidi w:val="0"/>
              <w:spacing w:before="0" w:after="0"/>
              <w:ind w:left="0" w:right="0" w:hanging="0"/>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(2,647,838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(6,368,886</w:t>
            </w:r>
          </w:p>
        </w:tc>
        <w:tc>
          <w:tcPr>
            <w:tcW w:w="17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2,843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(6,323</w:t>
            </w:r>
          </w:p>
        </w:tc>
        <w:tc>
          <w:tcPr>
            <w:tcW w:w="17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13,914,886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8,020,466</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Net cash used in operating activities.</w:t>
      </w:r>
      <w:r>
        <w:rPr>
          <w:rFonts w:ascii="times new roman" w:hAnsi="times new roman"/>
          <w:sz w:val="20"/>
        </w:rPr>
        <w:t xml:space="preserve"> Net cash used in operating activities was approximately $2.7 million for the six months ended June 30, 2023, compared to approximately $6.4 million for the six months ended June 30, 2022. The decrease in cash used for operating activities was primarily due to prepaid expenses and accounts payable activity in the current period as compared to the prior year.</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Net cash (used in) provided by investing activities</w:t>
      </w:r>
      <w:r>
        <w:rPr>
          <w:rFonts w:ascii="times new roman" w:hAnsi="times new roman"/>
          <w:sz w:val="20"/>
        </w:rPr>
        <w:t xml:space="preserve">. Net cash provided by investing activities was approximately $2,843 for the six months ended June 30, 2023, compared to net cash used in investing activities of approximately $6,300 in the six months ended June 30, 2022. The increase in cash provided by investing activities was primarily due to the sale of office furniture related to the relocation of the the Company’s headquarters.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Net cash provided by financing activities</w:t>
      </w:r>
      <w:r>
        <w:rPr>
          <w:rFonts w:ascii="times new roman" w:hAnsi="times new roman"/>
          <w:sz w:val="20"/>
        </w:rPr>
        <w:t xml:space="preserve">. Net cash provided by financing activities was approximately $14.0 million for the six months ended June 30, 2023, compared to approximately $8.0 million in the six months ended June 30, 2022. The increase in cash provided by financing activities was due to the net proceeds from the February 3, 2023 sale of common stock and warrants and the exercise of warrants.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Operating Capital and Capital Expenditure Requirements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Our future capital requirements will depend on many factors that include, but are not limited to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initiation, progress, timing and completion of clinical trials for our product candidates and potential product candidates;</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outcome, timing and cost of regulatory approvals and the regulatory approval process;</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delays that may be caused by changing regulatory requirements;</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number of product candidates we pursue;</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costs involved in filing and prosecuting patent applications and enforcing and defending patent claims;</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timing and terms of future collaboration, licensing, consulting or other arrangements that we may enter into;</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cost and timing of establishing sales, marketing, manufacturing and distribution capabilities;</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cost of procuring clinical and commercial supplies of our product candidates;</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extent to which we acquire or invest in businesses, products or technologies;</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delays that may be caused by the global coronavirus pandemic or similar global societal disruptions; and</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possible costs of litigation.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Based on our working capital on June 30, 2023, we believe we have sufficient capital on hand to continue to fund operations through to the first quarter of calendar year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will need substantial additional capital beyond the first quarter of calendar year 2024 assuming ongoing preparation, planning activities, and other outsourced activities associated with a Phase 3 levosimendan trial to start in the interim, continue at the expected pace. In addition, we will need additional funding in the future in order to complete the regulatory approval and commercialization of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2022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Critical Accounting Policies and Significant Judgments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2022 and Note 2 to our unaudited condensed consolidated financial statements included in Part I, Item 1 of this Quarterly Report on Form 10-Q.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Off-Balance Sheet Arrangements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Since our inception, we have not engaged in any off-balance sheet arrangements, including the use of structured finance, special purpose entities or variable interest entities.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 w:name="i3"/>
      <w:bookmarkEnd w:id="9"/>
      <w:r>
        <w:rPr>
          <w:rStyle w:val="StrongEmphasis"/>
          <w:rFonts w:ascii="times new roman" w:hAnsi="times new roman"/>
          <w:sz w:val="20"/>
        </w:rPr>
        <w:t>ITEM 3. QUANTITATIVE 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Smaller reporting companies are not required to provide the information required by this item.</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 w:name="i4"/>
      <w:bookmarkEnd w:id="10"/>
      <w:r>
        <w:rPr>
          <w:rStyle w:val="StrongEmphasis"/>
          <w:rFonts w:ascii="times new roman" w:hAnsi="times new roman"/>
          <w:sz w:val="20"/>
        </w:rPr>
        <w:t>ITEM 4.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 xml:space="preserve">Evaluation of Disclosure Controls and Procedures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Based on their evaluation, our President and Chief Executive Officer and Interim Chief Financial Officer concluded that our disclosure controls and procedures were effective as of June 30, 2023,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1" w:name="p2"/>
      <w:bookmarkEnd w:id="11"/>
      <w:r>
        <w:rPr>
          <w:rStyle w:val="StrongEmphasis"/>
          <w:rFonts w:ascii="times new roman" w:hAnsi="times new roman"/>
          <w:sz w:val="20"/>
        </w:rPr>
        <w:t>PART II –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2" w:name="ii1"/>
      <w:bookmarkEnd w:id="12"/>
      <w:r>
        <w:rPr>
          <w:rStyle w:val="StrongEmphasis"/>
          <w:rFonts w:ascii="times new roman" w:hAnsi="times new roman"/>
          <w:sz w:val="20"/>
        </w:rPr>
        <w:t>ITEM 1. LEGAL PROCEEDINGS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There are no material pending legal proceedings to which we are a party or to which any of our property is subject.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3" w:name="ii1a"/>
      <w:bookmarkEnd w:id="13"/>
      <w:r>
        <w:rPr>
          <w:rStyle w:val="StrongEmphasis"/>
          <w:rFonts w:ascii="times new roman" w:hAnsi="times new roman"/>
          <w:sz w:val="20"/>
        </w:rPr>
        <w:t>ITEM 1A. RISK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risks we face have not materially changed from those disclosed in our Annual Report on Form 10-K for the year ended December 31, 2022.</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4" w:name="ii6"/>
      <w:bookmarkEnd w:id="14"/>
      <w:r>
        <w:rPr>
          <w:rStyle w:val="StrongEmphasis"/>
          <w:rFonts w:ascii="times new roman" w:hAnsi="times new roman"/>
          <w:sz w:val="20"/>
        </w:rPr>
        <w:t xml:space="preserve">ITEM 6. EXHIBITS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following exhibits are being filed or furnished as part of this Quarterly Report on Form 10-Q and are numbered in accordance with Item 601 of Regulation S-K: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1130"/>
        <w:gridCol w:w="90"/>
        <w:gridCol w:w="8985"/>
      </w:tblGrid>
      <w:tr>
        <w:trPr/>
        <w:tc>
          <w:tcPr>
            <w:tcW w:w="1130" w:type="dxa"/>
            <w:tcBorders>
              <w:bottom w:val="single" w:sz="2" w:space="0" w:color="000000"/>
            </w:tcBorders>
            <w:vAlign w:val="center"/>
          </w:tcPr>
          <w:p>
            <w:pPr>
              <w:pStyle w:val="TableContents"/>
              <w:bidi w:val="0"/>
              <w:spacing w:before="0" w:after="0"/>
              <w:ind w:left="0" w:right="0" w:hanging="0"/>
              <w:jc w:val="both"/>
              <w:rPr/>
            </w:pPr>
            <w:r>
              <w:rPr>
                <w:rStyle w:val="StrongEmphasis"/>
                <w:rFonts w:ascii="times new roman" w:hAnsi="times new roman"/>
                <w:sz w:val="20"/>
              </w:rPr>
              <w:t>Exhibit Number</w:t>
            </w:r>
          </w:p>
        </w:tc>
        <w:tc>
          <w:tcPr>
            <w:tcW w:w="90" w:type="dxa"/>
            <w:tcBorders/>
            <w:tcMar>
              <w:bottom w:w="0" w:type="dxa"/>
            </w:tcMar>
            <w:vAlign w:val="center"/>
          </w:tcPr>
          <w:p>
            <w:pPr>
              <w:pStyle w:val="TableContents"/>
              <w:bidi w:val="0"/>
              <w:spacing w:before="0" w:after="0"/>
              <w:ind w:left="0" w:right="0" w:hanging="0"/>
              <w:jc w:val="both"/>
              <w:rPr/>
            </w:pPr>
            <w:r>
              <w:rPr/>
              <w:t> </w:t>
            </w:r>
          </w:p>
        </w:tc>
        <w:tc>
          <w:tcPr>
            <w:tcW w:w="8985" w:type="dxa"/>
            <w:tcBorders>
              <w:bottom w:val="single" w:sz="2" w:space="0" w:color="000000"/>
            </w:tcBorders>
            <w:vAlign w:val="center"/>
          </w:tcPr>
          <w:p>
            <w:pPr>
              <w:pStyle w:val="TableContents"/>
              <w:bidi w:val="0"/>
              <w:spacing w:before="0" w:after="0"/>
              <w:ind w:left="0" w:right="0" w:hanging="0"/>
              <w:jc w:val="both"/>
              <w:rPr/>
            </w:pPr>
            <w:r>
              <w:rPr>
                <w:rStyle w:val="StrongEmphasis"/>
                <w:rFonts w:ascii="times new roman" w:hAnsi="times new roman"/>
                <w:sz w:val="20"/>
              </w:rPr>
              <w:t>Description</w:t>
            </w:r>
          </w:p>
        </w:tc>
      </w:tr>
      <w:tr>
        <w:trPr/>
        <w:tc>
          <w:tcPr>
            <w:tcW w:w="1130" w:type="dxa"/>
            <w:tcBorders/>
            <w:tcMar>
              <w:bottom w:w="0" w:type="dxa"/>
            </w:tcMar>
            <w:vAlign w:val="center"/>
          </w:tcPr>
          <w:p>
            <w:pPr>
              <w:pStyle w:val="TableContents"/>
              <w:bidi w:val="0"/>
              <w:spacing w:before="0" w:after="0"/>
              <w:ind w:left="0" w:right="0" w:hanging="0"/>
              <w:jc w:val="both"/>
              <w:rPr/>
            </w:pPr>
            <w:r>
              <w:rPr/>
              <w:t> </w:t>
            </w:r>
          </w:p>
        </w:tc>
        <w:tc>
          <w:tcPr>
            <w:tcW w:w="90" w:type="dxa"/>
            <w:tcBorders/>
            <w:tcMar>
              <w:bottom w:w="0" w:type="dxa"/>
            </w:tcMar>
            <w:vAlign w:val="center"/>
          </w:tcPr>
          <w:p>
            <w:pPr>
              <w:pStyle w:val="TableContents"/>
              <w:bidi w:val="0"/>
              <w:spacing w:before="0" w:after="0"/>
              <w:ind w:left="0" w:right="0" w:hanging="0"/>
              <w:jc w:val="both"/>
              <w:rPr/>
            </w:pPr>
            <w:r>
              <w:rPr/>
              <w:t> </w:t>
            </w:r>
          </w:p>
        </w:tc>
        <w:tc>
          <w:tcPr>
            <w:tcW w:w="8985" w:type="dxa"/>
            <w:tcBorders/>
            <w:tcMar>
              <w:bottom w:w="0" w:type="dxa"/>
            </w:tcMar>
            <w:vAlign w:val="center"/>
          </w:tcPr>
          <w:p>
            <w:pPr>
              <w:pStyle w:val="TableContents"/>
              <w:bidi w:val="0"/>
              <w:spacing w:before="0" w:after="0"/>
              <w:ind w:left="0" w:right="0" w:hanging="0"/>
              <w:jc w:val="both"/>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both"/>
              <w:rPr/>
            </w:pPr>
            <w:hyperlink w:anchor="tenx_ex311.htm">
              <w:r>
                <w:rPr>
                  <w:rStyle w:val="InternetLink"/>
                  <w:rFonts w:ascii="times new roman" w:hAnsi="times new roman"/>
                  <w:sz w:val="20"/>
                </w:rPr>
                <w:t>31.1*</w:t>
              </w:r>
            </w:hyperlink>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8985" w:type="dxa"/>
            <w:tcBorders/>
            <w:shd w:fill="CCEEFF" w:val="clear"/>
            <w:tcMar>
              <w:bottom w:w="0" w:type="dxa"/>
            </w:tcMar>
            <w:vAlign w:val="center"/>
          </w:tcPr>
          <w:p>
            <w:pPr>
              <w:pStyle w:val="TableContents"/>
              <w:bidi w:val="0"/>
              <w:spacing w:before="0" w:after="0"/>
              <w:ind w:left="0" w:right="0" w:hanging="0"/>
              <w:jc w:val="both"/>
              <w:rPr/>
            </w:pPr>
            <w:hyperlink w:anchor="tenx_ex311.htm">
              <w:r>
                <w:rPr>
                  <w:rStyle w:val="InternetLink"/>
                  <w:rFonts w:ascii="times new roman" w:hAnsi="times new roman"/>
                  <w:sz w:val="20"/>
                </w:rPr>
                <w:t>Certification of President and Chief Executive Officer pursuant to Section 302 of the Sarbanes Oxley Act of 2002.</w:t>
              </w:r>
            </w:hyperlink>
          </w:p>
        </w:tc>
      </w:tr>
      <w:tr>
        <w:trPr/>
        <w:tc>
          <w:tcPr>
            <w:tcW w:w="1130" w:type="dxa"/>
            <w:tcBorders/>
            <w:shd w:fill="FFFFFF" w:val="clear"/>
            <w:tcMar>
              <w:bottom w:w="0" w:type="dxa"/>
            </w:tcMar>
            <w:vAlign w:val="center"/>
          </w:tcPr>
          <w:p>
            <w:pPr>
              <w:pStyle w:val="TableContents"/>
              <w:bidi w:val="0"/>
              <w:spacing w:before="0" w:after="0"/>
              <w:ind w:left="0" w:right="0" w:hanging="0"/>
              <w:jc w:val="both"/>
              <w:rPr/>
            </w:pPr>
            <w:hyperlink w:anchor="tenx_ex312.htm">
              <w:r>
                <w:rPr>
                  <w:rStyle w:val="InternetLink"/>
                  <w:rFonts w:ascii="times new roman" w:hAnsi="times new roman"/>
                  <w:sz w:val="20"/>
                </w:rPr>
                <w:t>31.2*</w:t>
              </w:r>
            </w:hyperlink>
          </w:p>
        </w:tc>
        <w:tc>
          <w:tcPr>
            <w:tcW w:w="90" w:type="dxa"/>
            <w:tcBorders/>
            <w:shd w:fill="FFFFFF" w:val="clear"/>
            <w:tcMar>
              <w:bottom w:w="0" w:type="dxa"/>
            </w:tcMar>
            <w:vAlign w:val="center"/>
          </w:tcPr>
          <w:p>
            <w:pPr>
              <w:pStyle w:val="TableContents"/>
              <w:bidi w:val="0"/>
              <w:spacing w:before="0" w:after="0"/>
              <w:ind w:left="0" w:right="0" w:hanging="0"/>
              <w:jc w:val="both"/>
              <w:rPr/>
            </w:pPr>
            <w:r>
              <w:rPr/>
              <w:t> </w:t>
            </w:r>
          </w:p>
        </w:tc>
        <w:tc>
          <w:tcPr>
            <w:tcW w:w="8985" w:type="dxa"/>
            <w:tcBorders/>
            <w:shd w:fill="FFFFFF" w:val="clear"/>
            <w:tcMar>
              <w:bottom w:w="0" w:type="dxa"/>
            </w:tcMar>
            <w:vAlign w:val="center"/>
          </w:tcPr>
          <w:p>
            <w:pPr>
              <w:pStyle w:val="TableContents"/>
              <w:bidi w:val="0"/>
              <w:spacing w:before="0" w:after="0"/>
              <w:ind w:left="0" w:right="0" w:hanging="0"/>
              <w:jc w:val="both"/>
              <w:rPr/>
            </w:pPr>
            <w:hyperlink w:anchor="tenx_ex312.htm">
              <w:r>
                <w:rPr>
                  <w:rStyle w:val="InternetLink"/>
                  <w:rFonts w:ascii="times new roman" w:hAnsi="times new roman"/>
                  <w:sz w:val="20"/>
                </w:rPr>
                <w:t>Certification of Interim Chief Financial Officer pursuant to Section 302 of the Sarbanes Oxley Act of 2002.</w:t>
              </w:r>
            </w:hyperlink>
          </w:p>
        </w:tc>
      </w:tr>
      <w:tr>
        <w:trPr/>
        <w:tc>
          <w:tcPr>
            <w:tcW w:w="1130" w:type="dxa"/>
            <w:tcBorders/>
            <w:shd w:fill="CCEEFF" w:val="clear"/>
            <w:tcMar>
              <w:bottom w:w="0" w:type="dxa"/>
            </w:tcMar>
            <w:vAlign w:val="center"/>
          </w:tcPr>
          <w:p>
            <w:pPr>
              <w:pStyle w:val="TableContents"/>
              <w:bidi w:val="0"/>
              <w:spacing w:before="0" w:after="0"/>
              <w:ind w:left="0" w:right="0" w:hanging="0"/>
              <w:jc w:val="both"/>
              <w:rPr/>
            </w:pPr>
            <w:hyperlink w:anchor="tenx_ex321.htm">
              <w:r>
                <w:rPr>
                  <w:rStyle w:val="InternetLink"/>
                  <w:rFonts w:ascii="times new roman" w:hAnsi="times new roman"/>
                  <w:sz w:val="20"/>
                </w:rPr>
                <w:t>32.1</w:t>
              </w:r>
            </w:hyperlink>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8985" w:type="dxa"/>
            <w:tcBorders/>
            <w:shd w:fill="CCEEFF" w:val="clear"/>
            <w:tcMar>
              <w:bottom w:w="0" w:type="dxa"/>
            </w:tcMar>
            <w:vAlign w:val="center"/>
          </w:tcPr>
          <w:p>
            <w:pPr>
              <w:pStyle w:val="TableContents"/>
              <w:bidi w:val="0"/>
              <w:spacing w:before="0" w:after="0"/>
              <w:ind w:left="0" w:right="0" w:hanging="0"/>
              <w:jc w:val="both"/>
              <w:rPr/>
            </w:pPr>
            <w:hyperlink w:anchor="tenx_ex321.htm">
              <w:r>
                <w:rPr>
                  <w:rStyle w:val="InternetLink"/>
                  <w:rFonts w:ascii="times new roman" w:hAnsi="times new roman"/>
                  <w:sz w:val="20"/>
                </w:rPr>
                <w:t>Certification of President and Chief Executive Officer pursuant to 18 U.S.C. Section 1350, as adopted pursuant to Section 906 of the Sarbanes-Oxley Act of 2002.</w:t>
              </w:r>
            </w:hyperlink>
          </w:p>
        </w:tc>
      </w:tr>
      <w:tr>
        <w:trPr/>
        <w:tc>
          <w:tcPr>
            <w:tcW w:w="1130" w:type="dxa"/>
            <w:tcBorders/>
            <w:shd w:fill="FFFFFF" w:val="clear"/>
            <w:tcMar>
              <w:bottom w:w="0" w:type="dxa"/>
            </w:tcMar>
            <w:vAlign w:val="center"/>
          </w:tcPr>
          <w:p>
            <w:pPr>
              <w:pStyle w:val="TableContents"/>
              <w:bidi w:val="0"/>
              <w:spacing w:before="0" w:after="0"/>
              <w:ind w:left="0" w:right="0" w:hanging="0"/>
              <w:jc w:val="both"/>
              <w:rPr/>
            </w:pPr>
            <w:hyperlink w:anchor="tenx_ex322.htm">
              <w:r>
                <w:rPr>
                  <w:rStyle w:val="InternetLink"/>
                  <w:rFonts w:ascii="times new roman" w:hAnsi="times new roman"/>
                  <w:sz w:val="20"/>
                </w:rPr>
                <w:t>32.2</w:t>
              </w:r>
            </w:hyperlink>
          </w:p>
        </w:tc>
        <w:tc>
          <w:tcPr>
            <w:tcW w:w="90" w:type="dxa"/>
            <w:tcBorders/>
            <w:shd w:fill="FFFFFF" w:val="clear"/>
            <w:tcMar>
              <w:bottom w:w="0" w:type="dxa"/>
            </w:tcMar>
            <w:vAlign w:val="center"/>
          </w:tcPr>
          <w:p>
            <w:pPr>
              <w:pStyle w:val="TableContents"/>
              <w:bidi w:val="0"/>
              <w:spacing w:before="0" w:after="0"/>
              <w:ind w:left="0" w:right="0" w:hanging="0"/>
              <w:jc w:val="both"/>
              <w:rPr/>
            </w:pPr>
            <w:r>
              <w:rPr/>
              <w:t> </w:t>
            </w:r>
          </w:p>
        </w:tc>
        <w:tc>
          <w:tcPr>
            <w:tcW w:w="8985" w:type="dxa"/>
            <w:tcBorders/>
            <w:shd w:fill="FFFFFF" w:val="clear"/>
            <w:tcMar>
              <w:bottom w:w="0" w:type="dxa"/>
            </w:tcMar>
            <w:vAlign w:val="center"/>
          </w:tcPr>
          <w:p>
            <w:pPr>
              <w:pStyle w:val="TableContents"/>
              <w:bidi w:val="0"/>
              <w:spacing w:before="0" w:after="0"/>
              <w:ind w:left="0" w:right="0" w:hanging="0"/>
              <w:jc w:val="both"/>
              <w:rPr/>
            </w:pPr>
            <w:hyperlink w:anchor="tenx_ex322.htm">
              <w:r>
                <w:rPr>
                  <w:rStyle w:val="InternetLink"/>
                  <w:rFonts w:ascii="times new roman" w:hAnsi="times new roman"/>
                  <w:sz w:val="20"/>
                </w:rPr>
                <w:t>Certification of Interim Chief Financial Officer pursuant to 18 U.S.C. Section 1350, as adopted pursuant to Section 906 of the Sarbanes-Oxley Act of 2002.</w:t>
              </w:r>
            </w:hyperlink>
          </w:p>
        </w:tc>
      </w:tr>
      <w:tr>
        <w:trPr/>
        <w:tc>
          <w:tcPr>
            <w:tcW w:w="113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w:t>
            </w:r>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898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Inline XBRL Document Set for the condensed consolidated financial statements and accompanying notes in Part I, Item 1, “Financial Statements” of this Quarterly Report on Form 10-Q.</w:t>
            </w:r>
          </w:p>
        </w:tc>
      </w:tr>
      <w:tr>
        <w:trPr/>
        <w:tc>
          <w:tcPr>
            <w:tcW w:w="113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104*</w:t>
            </w:r>
          </w:p>
        </w:tc>
        <w:tc>
          <w:tcPr>
            <w:tcW w:w="90" w:type="dxa"/>
            <w:tcBorders/>
            <w:shd w:fill="FFFFFF" w:val="clear"/>
            <w:tcMar>
              <w:bottom w:w="0" w:type="dxa"/>
            </w:tcMar>
            <w:vAlign w:val="center"/>
          </w:tcPr>
          <w:p>
            <w:pPr>
              <w:pStyle w:val="TableContents"/>
              <w:bidi w:val="0"/>
              <w:spacing w:before="0" w:after="0"/>
              <w:ind w:left="0" w:right="0" w:hanging="0"/>
              <w:jc w:val="both"/>
              <w:rPr/>
            </w:pPr>
            <w:r>
              <w:rPr/>
              <w:t> </w:t>
            </w:r>
          </w:p>
        </w:tc>
        <w:tc>
          <w:tcPr>
            <w:tcW w:w="898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Inline XBRL for the cover page of this Quarterly Report on Form 10-Q, included in the Exhibit 101 Inline XBRL Document Set.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5" w:name="sign"/>
      <w:bookmarkEnd w:id="15"/>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August 14, 2023</w:t>
      </w:r>
    </w:p>
    <w:p>
      <w:pPr>
        <w:pStyle w:val="TextBody"/>
        <w:bidi w:val="0"/>
        <w:spacing w:before="0" w:after="0"/>
        <w:ind w:left="0" w:right="0" w:hanging="0"/>
        <w:jc w:val="both"/>
        <w:rPr/>
      </w:pPr>
      <w:r>
        <w:rPr/>
        <w:t> </w:t>
      </w:r>
    </w:p>
    <w:tbl>
      <w:tblPr>
        <w:tblW w:w="7045" w:type="dxa"/>
        <w:jc w:val="left"/>
        <w:tblInd w:w="0" w:type="dxa"/>
        <w:tblLayout w:type="fixed"/>
        <w:tblCellMar>
          <w:top w:w="0" w:type="dxa"/>
          <w:left w:w="0" w:type="dxa"/>
          <w:bottom w:w="0" w:type="dxa"/>
          <w:right w:w="0" w:type="dxa"/>
        </w:tblCellMar>
      </w:tblPr>
      <w:tblGrid>
        <w:gridCol w:w="105"/>
        <w:gridCol w:w="350"/>
        <w:gridCol w:w="6455"/>
        <w:gridCol w:w="135"/>
      </w:tblGrid>
      <w:tr>
        <w:trPr/>
        <w:tc>
          <w:tcPr>
            <w:tcW w:w="105" w:type="dxa"/>
            <w:tcBorders/>
            <w:vAlign w:val="center"/>
          </w:tcPr>
          <w:p>
            <w:pPr>
              <w:pStyle w:val="TableContents"/>
              <w:bidi w:val="0"/>
              <w:spacing w:before="0" w:after="0"/>
              <w:ind w:left="0" w:right="0" w:hanging="0"/>
              <w:jc w:val="left"/>
              <w:rPr/>
            </w:pPr>
            <w:r>
              <w:rPr/>
              <w:t> </w:t>
            </w:r>
          </w:p>
        </w:tc>
        <w:tc>
          <w:tcPr>
            <w:tcW w:w="6805"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TENAX THERAPEUTICS, INC.</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45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4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r>
              <w:rPr>
                <w:rFonts w:ascii="times new roman" w:hAnsi="times new roman"/>
                <w:sz w:val="20"/>
              </w:rPr>
              <w:t>Eliot M. Lurier</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4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Eliot M. Lurier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4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Interim Chief Financial Officer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4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(On behalf of the Registrant and as Principal Financial and Accounting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29</w:t>
            </w:r>
          </w:p>
        </w:tc>
      </w:tr>
    </w:tbl>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16" w:name="tenx_ex311.htm"/>
      <w:bookmarkStart w:id="17" w:name="kstenx_ex311"/>
      <w:bookmarkEnd w:id="16"/>
      <w:bookmarkEnd w:id="17"/>
      <w:r>
        <w:rPr>
          <w:rStyle w:val="StrongEmphasis"/>
          <w:rFonts w:ascii="times new roman" w:hAnsi="times new roman"/>
          <w:sz w:val="20"/>
        </w:rPr>
        <w:t>EXHIBIT 31.1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 xml:space="preserve">CERTIFICATION PURSUANT TO </w:t>
      </w:r>
    </w:p>
    <w:p>
      <w:pPr>
        <w:pStyle w:val="TextBody"/>
        <w:bidi w:val="0"/>
        <w:spacing w:before="0" w:after="0"/>
        <w:ind w:left="0" w:right="0" w:hanging="0"/>
        <w:jc w:val="center"/>
        <w:rPr/>
      </w:pPr>
      <w:r>
        <w:rPr>
          <w:rStyle w:val="StrongEmphasis"/>
          <w:rFonts w:ascii="times new roman" w:hAnsi="times new roman"/>
          <w:sz w:val="20"/>
        </w:rPr>
        <w:t>SECTION 302 OF THE SARBANES-OXLEY ACT OF 2002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Christopher T. Giordano, certify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 have reviewed this Quarterly Report on Form 10-Q of Tenax Therapeutics, Inc.;</w:t>
            </w:r>
          </w:p>
        </w:tc>
      </w:tr>
      <w:tr>
        <w:trPr/>
        <w:tc>
          <w:tcPr>
            <w:tcW w:w="185" w:type="dxa"/>
            <w:tcBorders/>
            <w:vAlign w:val="center"/>
          </w:tcPr>
          <w:p>
            <w:pPr>
              <w:pStyle w:val="TableContents"/>
              <w:bidi w:val="0"/>
              <w:spacing w:before="0" w:after="0"/>
              <w:ind w:left="0" w:right="0" w:hanging="0"/>
              <w:jc w:val="both"/>
              <w:rPr/>
            </w:pPr>
            <w:r>
              <w:rPr/>
              <w:t> </w:t>
            </w:r>
          </w:p>
        </w:tc>
        <w:tc>
          <w:tcPr>
            <w:tcW w:w="10020" w:type="dxa"/>
            <w:tcBorders/>
            <w:vAlign w:val="center"/>
          </w:tcPr>
          <w:p>
            <w:pPr>
              <w:pStyle w:val="TableContents"/>
              <w:bidi w:val="0"/>
              <w:spacing w:before="0" w:after="0"/>
              <w:ind w:left="0" w:right="0" w:hanging="0"/>
              <w:jc w:val="both"/>
              <w:rPr/>
            </w:pPr>
            <w:r>
              <w:rPr/>
              <w:t> </w:t>
            </w:r>
          </w:p>
        </w:tc>
      </w:tr>
      <w:tr>
        <w:trPr/>
        <w:tc>
          <w:tcPr>
            <w:tcW w:w="1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85" w:type="dxa"/>
            <w:tcBorders/>
            <w:vAlign w:val="center"/>
          </w:tcPr>
          <w:p>
            <w:pPr>
              <w:pStyle w:val="TableContents"/>
              <w:bidi w:val="0"/>
              <w:spacing w:before="0" w:after="0"/>
              <w:ind w:left="0" w:right="0" w:hanging="0"/>
              <w:jc w:val="both"/>
              <w:rPr/>
            </w:pPr>
            <w:r>
              <w:rPr/>
              <w:t> </w:t>
            </w:r>
          </w:p>
        </w:tc>
        <w:tc>
          <w:tcPr>
            <w:tcW w:w="10020" w:type="dxa"/>
            <w:tcBorders/>
            <w:vAlign w:val="center"/>
          </w:tcPr>
          <w:p>
            <w:pPr>
              <w:pStyle w:val="TableContents"/>
              <w:bidi w:val="0"/>
              <w:spacing w:before="0" w:after="0"/>
              <w:ind w:left="0" w:right="0" w:hanging="0"/>
              <w:jc w:val="both"/>
              <w:rPr/>
            </w:pPr>
            <w:r>
              <w:rPr/>
              <w:t> </w:t>
            </w:r>
          </w:p>
        </w:tc>
      </w:tr>
      <w:tr>
        <w:trPr/>
        <w:tc>
          <w:tcPr>
            <w:tcW w:w="1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85" w:type="dxa"/>
            <w:tcBorders/>
            <w:vAlign w:val="center"/>
          </w:tcPr>
          <w:p>
            <w:pPr>
              <w:pStyle w:val="TableContents"/>
              <w:bidi w:val="0"/>
              <w:spacing w:before="0" w:after="0"/>
              <w:ind w:left="0" w:right="0" w:hanging="0"/>
              <w:jc w:val="both"/>
              <w:rPr/>
            </w:pPr>
            <w:r>
              <w:rPr/>
              <w:t> </w:t>
            </w:r>
          </w:p>
        </w:tc>
        <w:tc>
          <w:tcPr>
            <w:tcW w:w="10020" w:type="dxa"/>
            <w:tcBorders/>
            <w:vAlign w:val="center"/>
          </w:tcPr>
          <w:p>
            <w:pPr>
              <w:pStyle w:val="TableContents"/>
              <w:bidi w:val="0"/>
              <w:spacing w:before="0" w:after="0"/>
              <w:ind w:left="0" w:right="0" w:hanging="0"/>
              <w:jc w:val="both"/>
              <w:rPr/>
            </w:pPr>
            <w:r>
              <w:rPr/>
              <w:t> </w:t>
            </w:r>
          </w:p>
        </w:tc>
      </w:tr>
      <w:tr>
        <w:trPr/>
        <w:tc>
          <w:tcPr>
            <w:tcW w:w="1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73"/>
        <w:gridCol w:w="9927"/>
      </w:tblGrid>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pPr>
            <w:r>
              <w:rPr/>
              <w:t> </w:t>
            </w:r>
          </w:p>
        </w:tc>
        <w:tc>
          <w:tcPr>
            <w:tcW w:w="9927"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pPr>
            <w:r>
              <w:rPr/>
              <w:t> </w:t>
            </w:r>
          </w:p>
        </w:tc>
        <w:tc>
          <w:tcPr>
            <w:tcW w:w="9927"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pPr>
            <w:r>
              <w:rPr/>
              <w:t> </w:t>
            </w:r>
          </w:p>
        </w:tc>
        <w:tc>
          <w:tcPr>
            <w:tcW w:w="9927"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1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81"/>
        <w:gridCol w:w="9919"/>
      </w:tblGrid>
      <w:tr>
        <w:trPr/>
        <w:tc>
          <w:tcPr>
            <w:tcW w:w="105" w:type="dxa"/>
            <w:tcBorders/>
            <w:vAlign w:val="center"/>
          </w:tcPr>
          <w:p>
            <w:pPr>
              <w:pStyle w:val="TableContents"/>
              <w:bidi w:val="0"/>
              <w:spacing w:before="0" w:after="0"/>
              <w:ind w:left="0" w:right="0" w:hanging="0"/>
              <w:jc w:val="both"/>
              <w:rPr/>
            </w:pPr>
            <w:r>
              <w:rPr/>
              <w:t> </w:t>
            </w:r>
          </w:p>
        </w:tc>
        <w:tc>
          <w:tcPr>
            <w:tcW w:w="18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1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5" w:type="dxa"/>
            <w:tcBorders/>
            <w:vAlign w:val="center"/>
          </w:tcPr>
          <w:p>
            <w:pPr>
              <w:pStyle w:val="TableContents"/>
              <w:bidi w:val="0"/>
              <w:spacing w:before="0" w:after="0"/>
              <w:ind w:left="0" w:right="0" w:hanging="0"/>
              <w:jc w:val="both"/>
              <w:rPr/>
            </w:pPr>
            <w:r>
              <w:rPr/>
              <w:t> </w:t>
            </w:r>
          </w:p>
        </w:tc>
        <w:tc>
          <w:tcPr>
            <w:tcW w:w="181" w:type="dxa"/>
            <w:tcBorders/>
            <w:vAlign w:val="center"/>
          </w:tcPr>
          <w:p>
            <w:pPr>
              <w:pStyle w:val="TableContents"/>
              <w:bidi w:val="0"/>
              <w:spacing w:before="0" w:after="0"/>
              <w:ind w:left="0" w:right="0" w:hanging="0"/>
              <w:jc w:val="both"/>
              <w:rPr/>
            </w:pPr>
            <w:r>
              <w:rPr/>
              <w:t> </w:t>
            </w:r>
          </w:p>
        </w:tc>
        <w:tc>
          <w:tcPr>
            <w:tcW w:w="9919"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8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1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August 14, 2023</w:t>
      </w:r>
    </w:p>
    <w:p>
      <w:pPr>
        <w:pStyle w:val="TextBody"/>
        <w:bidi w:val="0"/>
        <w:spacing w:before="0" w:after="0"/>
        <w:ind w:left="0" w:right="0" w:hanging="0"/>
        <w:jc w:val="both"/>
        <w:rPr/>
      </w:pPr>
      <w:r>
        <w:rPr/>
        <w:t> </w:t>
      </w:r>
    </w:p>
    <w:tbl>
      <w:tblPr>
        <w:tblW w:w="3470" w:type="dxa"/>
        <w:jc w:val="left"/>
        <w:tblInd w:w="0" w:type="dxa"/>
        <w:tblLayout w:type="fixed"/>
        <w:tblCellMar>
          <w:top w:w="0" w:type="dxa"/>
          <w:left w:w="0" w:type="dxa"/>
          <w:bottom w:w="0" w:type="dxa"/>
          <w:right w:w="0" w:type="dxa"/>
        </w:tblCellMar>
      </w:tblPr>
      <w:tblGrid>
        <w:gridCol w:w="105"/>
        <w:gridCol w:w="90"/>
        <w:gridCol w:w="3140"/>
        <w:gridCol w:w="135"/>
      </w:tblGrid>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1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Christopher T. Giordano</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140" w:type="dxa"/>
            <w:tcBorders/>
            <w:vAlign w:val="center"/>
          </w:tcPr>
          <w:p>
            <w:pPr>
              <w:pStyle w:val="TableContents"/>
              <w:bidi w:val="0"/>
              <w:spacing w:before="0" w:after="0"/>
              <w:ind w:left="0" w:right="0" w:hanging="0"/>
              <w:jc w:val="left"/>
              <w:rPr/>
            </w:pPr>
            <w:r>
              <w:rPr>
                <w:rStyle w:val="Emphasis"/>
                <w:rFonts w:ascii="times new roman" w:hAnsi="times new roman"/>
                <w:sz w:val="20"/>
              </w:rPr>
              <w:t>President and Chief Executive Officer</w:t>
            </w:r>
          </w:p>
          <w:p>
            <w:pPr>
              <w:pStyle w:val="TableContents"/>
              <w:bidi w:val="0"/>
              <w:spacing w:before="0" w:after="0"/>
              <w:ind w:left="0" w:right="0" w:hanging="0"/>
              <w:jc w:val="left"/>
              <w:rPr/>
            </w:pPr>
            <w:r>
              <w:rPr>
                <w:rStyle w:val="Emphasis"/>
                <w:rFonts w:ascii="times new roman" w:hAnsi="times new roman"/>
                <w:sz w:val="20"/>
              </w:rPr>
              <w:t>(Principal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18" w:name="tenx_ex312.htm"/>
      <w:bookmarkStart w:id="19" w:name="kstenx_ex312"/>
      <w:bookmarkEnd w:id="18"/>
      <w:bookmarkEnd w:id="19"/>
      <w:r>
        <w:rPr>
          <w:rStyle w:val="StrongEmphasis"/>
          <w:rFonts w:ascii="times new roman" w:hAnsi="times new roman"/>
          <w:sz w:val="20"/>
        </w:rPr>
        <w:t>EXHIBIT 31.2</w:t>
      </w:r>
      <w:r>
        <w:br w:type="page"/>
      </w:r>
    </w:p>
    <w:p>
      <w:pPr>
        <w:pStyle w:val="TextBody"/>
        <w:bidi w:val="0"/>
        <w:spacing w:before="0" w:after="0"/>
        <w:ind w:left="0" w:right="0" w:hanging="0"/>
        <w:jc w:val="center"/>
        <w:rPr/>
      </w:pPr>
      <w:r>
        <w:rPr>
          <w:rStyle w:val="StrongEmphasis"/>
          <w:rFonts w:ascii="times new roman" w:hAnsi="times new roman"/>
          <w:sz w:val="20"/>
        </w:rPr>
        <w:t xml:space="preserve">CERTIFICATION PURSUANT TO </w:t>
      </w:r>
    </w:p>
    <w:p>
      <w:pPr>
        <w:pStyle w:val="TextBody"/>
        <w:bidi w:val="0"/>
        <w:spacing w:before="0" w:after="0"/>
        <w:ind w:left="0" w:right="0" w:hanging="0"/>
        <w:jc w:val="center"/>
        <w:rPr/>
      </w:pPr>
      <w:r>
        <w:rPr>
          <w:rStyle w:val="StrongEmphasis"/>
          <w:rFonts w:ascii="times new roman" w:hAnsi="times new roman"/>
          <w:sz w:val="20"/>
        </w:rPr>
        <w:t>SECTION 302 OF THE SARBANES-OXLEY ACT OF 2002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Eliot M. Lurier, certify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 have reviewed this Quarterly Report on Form 10-Q of Tenax Therapeutics, Inc.;</w:t>
            </w:r>
          </w:p>
        </w:tc>
      </w:tr>
      <w:tr>
        <w:trPr/>
        <w:tc>
          <w:tcPr>
            <w:tcW w:w="185" w:type="dxa"/>
            <w:tcBorders/>
            <w:vAlign w:val="center"/>
          </w:tcPr>
          <w:p>
            <w:pPr>
              <w:pStyle w:val="TableContents"/>
              <w:bidi w:val="0"/>
              <w:spacing w:before="0" w:after="0"/>
              <w:ind w:left="0" w:right="0" w:hanging="0"/>
              <w:jc w:val="both"/>
              <w:rPr/>
            </w:pPr>
            <w:r>
              <w:rPr/>
              <w:t> </w:t>
            </w:r>
          </w:p>
        </w:tc>
        <w:tc>
          <w:tcPr>
            <w:tcW w:w="10020" w:type="dxa"/>
            <w:tcBorders/>
            <w:vAlign w:val="center"/>
          </w:tcPr>
          <w:p>
            <w:pPr>
              <w:pStyle w:val="TableContents"/>
              <w:bidi w:val="0"/>
              <w:spacing w:before="0" w:after="0"/>
              <w:ind w:left="0" w:right="0" w:hanging="0"/>
              <w:jc w:val="both"/>
              <w:rPr/>
            </w:pPr>
            <w:r>
              <w:rPr/>
              <w:t> </w:t>
            </w:r>
          </w:p>
        </w:tc>
      </w:tr>
      <w:tr>
        <w:trPr/>
        <w:tc>
          <w:tcPr>
            <w:tcW w:w="1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85" w:type="dxa"/>
            <w:tcBorders/>
            <w:vAlign w:val="center"/>
          </w:tcPr>
          <w:p>
            <w:pPr>
              <w:pStyle w:val="TableContents"/>
              <w:bidi w:val="0"/>
              <w:spacing w:before="0" w:after="0"/>
              <w:ind w:left="0" w:right="0" w:hanging="0"/>
              <w:jc w:val="both"/>
              <w:rPr/>
            </w:pPr>
            <w:r>
              <w:rPr/>
              <w:t> </w:t>
            </w:r>
          </w:p>
        </w:tc>
        <w:tc>
          <w:tcPr>
            <w:tcW w:w="10020" w:type="dxa"/>
            <w:tcBorders/>
            <w:vAlign w:val="center"/>
          </w:tcPr>
          <w:p>
            <w:pPr>
              <w:pStyle w:val="TableContents"/>
              <w:bidi w:val="0"/>
              <w:spacing w:before="0" w:after="0"/>
              <w:ind w:left="0" w:right="0" w:hanging="0"/>
              <w:jc w:val="both"/>
              <w:rPr/>
            </w:pPr>
            <w:r>
              <w:rPr/>
              <w:t> </w:t>
            </w:r>
          </w:p>
        </w:tc>
      </w:tr>
      <w:tr>
        <w:trPr/>
        <w:tc>
          <w:tcPr>
            <w:tcW w:w="1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85" w:type="dxa"/>
            <w:tcBorders/>
            <w:vAlign w:val="center"/>
          </w:tcPr>
          <w:p>
            <w:pPr>
              <w:pStyle w:val="TableContents"/>
              <w:bidi w:val="0"/>
              <w:spacing w:before="0" w:after="0"/>
              <w:ind w:left="0" w:right="0" w:hanging="0"/>
              <w:jc w:val="both"/>
              <w:rPr/>
            </w:pPr>
            <w:r>
              <w:rPr/>
              <w:t> </w:t>
            </w:r>
          </w:p>
        </w:tc>
        <w:tc>
          <w:tcPr>
            <w:tcW w:w="10020" w:type="dxa"/>
            <w:tcBorders/>
            <w:vAlign w:val="center"/>
          </w:tcPr>
          <w:p>
            <w:pPr>
              <w:pStyle w:val="TableContents"/>
              <w:bidi w:val="0"/>
              <w:spacing w:before="0" w:after="0"/>
              <w:ind w:left="0" w:right="0" w:hanging="0"/>
              <w:jc w:val="both"/>
              <w:rPr/>
            </w:pPr>
            <w:r>
              <w:rPr/>
              <w:t> </w:t>
            </w:r>
          </w:p>
        </w:tc>
      </w:tr>
      <w:tr>
        <w:trPr/>
        <w:tc>
          <w:tcPr>
            <w:tcW w:w="1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73"/>
        <w:gridCol w:w="9927"/>
      </w:tblGrid>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pPr>
            <w:r>
              <w:rPr/>
              <w:t> </w:t>
            </w:r>
          </w:p>
        </w:tc>
        <w:tc>
          <w:tcPr>
            <w:tcW w:w="9927"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pPr>
            <w:r>
              <w:rPr/>
              <w:t> </w:t>
            </w:r>
          </w:p>
        </w:tc>
        <w:tc>
          <w:tcPr>
            <w:tcW w:w="9927"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pPr>
            <w:r>
              <w:rPr/>
              <w:t> </w:t>
            </w:r>
          </w:p>
        </w:tc>
        <w:tc>
          <w:tcPr>
            <w:tcW w:w="9927"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1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81"/>
        <w:gridCol w:w="9919"/>
      </w:tblGrid>
      <w:tr>
        <w:trPr/>
        <w:tc>
          <w:tcPr>
            <w:tcW w:w="105" w:type="dxa"/>
            <w:tcBorders/>
            <w:vAlign w:val="center"/>
          </w:tcPr>
          <w:p>
            <w:pPr>
              <w:pStyle w:val="TableContents"/>
              <w:bidi w:val="0"/>
              <w:spacing w:before="0" w:after="0"/>
              <w:ind w:left="0" w:right="0" w:hanging="0"/>
              <w:jc w:val="both"/>
              <w:rPr/>
            </w:pPr>
            <w:r>
              <w:rPr/>
              <w:t> </w:t>
            </w:r>
          </w:p>
        </w:tc>
        <w:tc>
          <w:tcPr>
            <w:tcW w:w="18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1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5" w:type="dxa"/>
            <w:tcBorders/>
            <w:vAlign w:val="center"/>
          </w:tcPr>
          <w:p>
            <w:pPr>
              <w:pStyle w:val="TableContents"/>
              <w:bidi w:val="0"/>
              <w:spacing w:before="0" w:after="0"/>
              <w:ind w:left="0" w:right="0" w:hanging="0"/>
              <w:jc w:val="both"/>
              <w:rPr/>
            </w:pPr>
            <w:r>
              <w:rPr/>
              <w:t> </w:t>
            </w:r>
          </w:p>
        </w:tc>
        <w:tc>
          <w:tcPr>
            <w:tcW w:w="181" w:type="dxa"/>
            <w:tcBorders/>
            <w:vAlign w:val="center"/>
          </w:tcPr>
          <w:p>
            <w:pPr>
              <w:pStyle w:val="TableContents"/>
              <w:bidi w:val="0"/>
              <w:spacing w:before="0" w:after="0"/>
              <w:ind w:left="0" w:right="0" w:hanging="0"/>
              <w:jc w:val="both"/>
              <w:rPr/>
            </w:pPr>
            <w:r>
              <w:rPr/>
              <w:t> </w:t>
            </w:r>
          </w:p>
        </w:tc>
        <w:tc>
          <w:tcPr>
            <w:tcW w:w="9919"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8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1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August 14, 2023</w:t>
      </w:r>
    </w:p>
    <w:p>
      <w:pPr>
        <w:pStyle w:val="TextBody"/>
        <w:bidi w:val="0"/>
        <w:spacing w:before="0" w:after="0"/>
        <w:ind w:left="0" w:right="0" w:hanging="0"/>
        <w:jc w:val="both"/>
        <w:rPr/>
      </w:pPr>
      <w:r>
        <w:rPr/>
        <w:t> </w:t>
      </w:r>
    </w:p>
    <w:tbl>
      <w:tblPr>
        <w:tblW w:w="4100" w:type="dxa"/>
        <w:jc w:val="left"/>
        <w:tblInd w:w="0" w:type="dxa"/>
        <w:tblLayout w:type="fixed"/>
        <w:tblCellMar>
          <w:top w:w="0" w:type="dxa"/>
          <w:left w:w="0" w:type="dxa"/>
          <w:bottom w:w="0" w:type="dxa"/>
          <w:right w:w="0" w:type="dxa"/>
        </w:tblCellMar>
      </w:tblPr>
      <w:tblGrid>
        <w:gridCol w:w="105"/>
        <w:gridCol w:w="90"/>
        <w:gridCol w:w="3770"/>
        <w:gridCol w:w="135"/>
      </w:tblGrid>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7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Eliot M. Lurier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770" w:type="dxa"/>
            <w:tcBorders/>
            <w:vAlign w:val="center"/>
          </w:tcPr>
          <w:p>
            <w:pPr>
              <w:pStyle w:val="TableContents"/>
              <w:bidi w:val="0"/>
              <w:spacing w:before="0" w:after="0"/>
              <w:ind w:left="0" w:right="0" w:hanging="0"/>
              <w:jc w:val="left"/>
              <w:rPr/>
            </w:pPr>
            <w:r>
              <w:rPr>
                <w:rStyle w:val="Emphasis"/>
                <w:rFonts w:ascii="times new roman" w:hAnsi="times new roman"/>
                <w:sz w:val="20"/>
              </w:rPr>
              <w:t>Interim Chief Financial Officer</w:t>
            </w:r>
          </w:p>
          <w:p>
            <w:pPr>
              <w:pStyle w:val="TableContents"/>
              <w:bidi w:val="0"/>
              <w:spacing w:before="0" w:after="0"/>
              <w:ind w:left="0" w:right="0" w:hanging="0"/>
              <w:jc w:val="left"/>
              <w:rPr/>
            </w:pPr>
            <w:r>
              <w:rPr>
                <w:rStyle w:val="Emphasis"/>
                <w:rFonts w:ascii="times new roman" w:hAnsi="times new roman"/>
                <w:sz w:val="20"/>
              </w:rPr>
              <w:t>(Principal Financial and Accounting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20" w:name="tenx_ex321.htm"/>
      <w:bookmarkStart w:id="21" w:name="kstenx_ex321"/>
      <w:bookmarkEnd w:id="20"/>
      <w:bookmarkEnd w:id="21"/>
      <w:r>
        <w:rPr>
          <w:rStyle w:val="StrongEmphasis"/>
          <w:rFonts w:ascii="times new roman" w:hAnsi="times new roman"/>
          <w:sz w:val="20"/>
        </w:rPr>
        <w:t>EXHIBIT 32.1</w:t>
      </w:r>
      <w:r>
        <w:br w:type="page"/>
      </w:r>
    </w:p>
    <w:p>
      <w:pPr>
        <w:pStyle w:val="TextBody"/>
        <w:bidi w:val="0"/>
        <w:spacing w:before="0" w:after="0"/>
        <w:ind w:left="0" w:right="0" w:hanging="0"/>
        <w:jc w:val="center"/>
        <w:rPr/>
      </w:pPr>
      <w:r>
        <w:rPr>
          <w:rStyle w:val="StrongEmphasis"/>
        </w:rPr>
        <w:t xml:space="preserve">  </w:t>
      </w:r>
    </w:p>
    <w:p>
      <w:pPr>
        <w:pStyle w:val="TextBody"/>
        <w:bidi w:val="0"/>
        <w:spacing w:before="0" w:after="0"/>
        <w:ind w:left="0" w:right="0" w:hanging="0"/>
        <w:jc w:val="center"/>
        <w:rPr/>
      </w:pPr>
      <w:r>
        <w:rPr>
          <w:rStyle w:val="StrongEmphasis"/>
          <w:rFonts w:ascii="times new roman" w:hAnsi="times new roman"/>
          <w:sz w:val="20"/>
        </w:rPr>
        <w:t xml:space="preserve">CERTIFICATION PURSUANT TO 18 U.S.C. SECTION 1350, AS ADOPTED PURSUANT TO </w:t>
      </w:r>
    </w:p>
    <w:p>
      <w:pPr>
        <w:pStyle w:val="TextBody"/>
        <w:bidi w:val="0"/>
        <w:spacing w:before="0" w:after="0"/>
        <w:ind w:left="0" w:right="0" w:hanging="0"/>
        <w:jc w:val="center"/>
        <w:rPr/>
      </w:pPr>
      <w:r>
        <w:rPr>
          <w:rStyle w:val="StrongEmphasis"/>
          <w:rFonts w:ascii="times new roman" w:hAnsi="times new roman"/>
          <w:sz w:val="20"/>
        </w:rPr>
        <w:t>SECTION 906 OF THE SARBANES-OXLEY ACT OF 2002</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Quarterly Report of Tenax Therapeutics, Inc. (the “Company”) on Form 10-Q for the period ended June 30, 2023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as amended; and</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 for the periods covered by the Report.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August 14, 2023</w:t>
      </w:r>
    </w:p>
    <w:p>
      <w:pPr>
        <w:pStyle w:val="TextBody"/>
        <w:bidi w:val="0"/>
        <w:spacing w:before="0" w:after="0"/>
        <w:ind w:left="0" w:right="0" w:hanging="0"/>
        <w:jc w:val="both"/>
        <w:rPr/>
      </w:pPr>
      <w:r>
        <w:rPr/>
        <w:t> </w:t>
      </w:r>
    </w:p>
    <w:tbl>
      <w:tblPr>
        <w:tblW w:w="3470" w:type="dxa"/>
        <w:jc w:val="left"/>
        <w:tblInd w:w="0" w:type="dxa"/>
        <w:tblLayout w:type="fixed"/>
        <w:tblCellMar>
          <w:top w:w="0" w:type="dxa"/>
          <w:left w:w="0" w:type="dxa"/>
          <w:bottom w:w="0" w:type="dxa"/>
          <w:right w:w="0" w:type="dxa"/>
        </w:tblCellMar>
      </w:tblPr>
      <w:tblGrid>
        <w:gridCol w:w="105"/>
        <w:gridCol w:w="90"/>
        <w:gridCol w:w="3140"/>
        <w:gridCol w:w="135"/>
      </w:tblGrid>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1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Christopher T. Giordano</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140" w:type="dxa"/>
            <w:tcBorders/>
            <w:vAlign w:val="center"/>
          </w:tcPr>
          <w:p>
            <w:pPr>
              <w:pStyle w:val="TableContents"/>
              <w:bidi w:val="0"/>
              <w:spacing w:before="0" w:after="0"/>
              <w:ind w:left="0" w:right="0" w:hanging="0"/>
              <w:jc w:val="left"/>
              <w:rPr/>
            </w:pPr>
            <w:r>
              <w:rPr>
                <w:rStyle w:val="Emphasis"/>
                <w:rFonts w:ascii="times new roman" w:hAnsi="times new roman"/>
                <w:sz w:val="20"/>
              </w:rPr>
              <w:t>President and Chief Executive Officer</w:t>
            </w:r>
          </w:p>
          <w:p>
            <w:pPr>
              <w:pStyle w:val="TableContents"/>
              <w:bidi w:val="0"/>
              <w:spacing w:before="0" w:after="0"/>
              <w:ind w:left="0" w:right="0" w:hanging="0"/>
              <w:jc w:val="left"/>
              <w:rPr/>
            </w:pPr>
            <w:r>
              <w:rPr>
                <w:rStyle w:val="Emphasis"/>
                <w:rFonts w:ascii="times new roman" w:hAnsi="times new roman"/>
                <w:sz w:val="20"/>
              </w:rPr>
              <w:t>(Principal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22" w:name="tenx_ex322.htm"/>
      <w:bookmarkStart w:id="23" w:name="kstenx_ex322"/>
      <w:bookmarkEnd w:id="22"/>
      <w:bookmarkEnd w:id="23"/>
      <w:r>
        <w:rPr>
          <w:rStyle w:val="StrongEmphasis"/>
          <w:rFonts w:ascii="times new roman" w:hAnsi="times new roman"/>
          <w:sz w:val="20"/>
        </w:rPr>
        <w:t>EXHIBIT 32.2</w:t>
      </w:r>
      <w:r>
        <w:br w:type="page"/>
      </w:r>
    </w:p>
    <w:p>
      <w:pPr>
        <w:pStyle w:val="TextBody"/>
        <w:bidi w:val="0"/>
        <w:spacing w:before="0" w:after="0"/>
        <w:ind w:left="0" w:right="0" w:hanging="0"/>
        <w:jc w:val="center"/>
        <w:rPr/>
      </w:pPr>
      <w:r>
        <w:rPr>
          <w:rStyle w:val="StrongEmphasis"/>
        </w:rPr>
        <w:t> </w:t>
      </w:r>
    </w:p>
    <w:p>
      <w:pPr>
        <w:pStyle w:val="TextBody"/>
        <w:bidi w:val="0"/>
        <w:spacing w:before="0" w:after="0"/>
        <w:ind w:left="0" w:right="0" w:hanging="0"/>
        <w:jc w:val="center"/>
        <w:rPr/>
      </w:pPr>
      <w:r>
        <w:rPr>
          <w:rStyle w:val="StrongEmphasis"/>
          <w:rFonts w:ascii="times new roman" w:hAnsi="times new roman"/>
          <w:sz w:val="20"/>
        </w:rPr>
        <w:t xml:space="preserve">CERTIFICATION PURSUANT TO 18 U.S.C. SECTION 1350, AS ADOPTED PURSUANT TO </w:t>
      </w:r>
    </w:p>
    <w:p>
      <w:pPr>
        <w:pStyle w:val="TextBody"/>
        <w:bidi w:val="0"/>
        <w:spacing w:before="0" w:after="0"/>
        <w:ind w:left="0" w:right="0" w:hanging="0"/>
        <w:jc w:val="center"/>
        <w:rPr/>
      </w:pPr>
      <w:r>
        <w:rPr>
          <w:rStyle w:val="StrongEmphasis"/>
          <w:rFonts w:ascii="times new roman" w:hAnsi="times new roman"/>
          <w:sz w:val="20"/>
        </w:rPr>
        <w:t>SECTION 906 OF THE SARBANES-OXLEY ACT OF 2002</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Quarterly Report of Tenax Therapeutics, Inc. (the “Company”) on Form 10-Q for the period ended June 30, 2023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as amended; and</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 for the periods covered by the Report.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August 14, 2023</w:t>
      </w:r>
    </w:p>
    <w:p>
      <w:pPr>
        <w:pStyle w:val="TextBody"/>
        <w:bidi w:val="0"/>
        <w:spacing w:before="0" w:after="0"/>
        <w:ind w:left="0" w:right="0" w:hanging="0"/>
        <w:jc w:val="both"/>
        <w:rPr/>
      </w:pPr>
      <w:r>
        <w:rPr/>
        <w:t> </w:t>
      </w:r>
    </w:p>
    <w:tbl>
      <w:tblPr>
        <w:tblW w:w="4100" w:type="dxa"/>
        <w:jc w:val="left"/>
        <w:tblInd w:w="0" w:type="dxa"/>
        <w:tblLayout w:type="fixed"/>
        <w:tblCellMar>
          <w:top w:w="0" w:type="dxa"/>
          <w:left w:w="0" w:type="dxa"/>
          <w:bottom w:w="0" w:type="dxa"/>
          <w:right w:w="0" w:type="dxa"/>
        </w:tblCellMar>
      </w:tblPr>
      <w:tblGrid>
        <w:gridCol w:w="105"/>
        <w:gridCol w:w="90"/>
        <w:gridCol w:w="3770"/>
        <w:gridCol w:w="135"/>
      </w:tblGrid>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7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Eliot M. Lurier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770" w:type="dxa"/>
            <w:tcBorders/>
            <w:vAlign w:val="center"/>
          </w:tcPr>
          <w:p>
            <w:pPr>
              <w:pStyle w:val="TableContents"/>
              <w:bidi w:val="0"/>
              <w:spacing w:before="0" w:after="0"/>
              <w:ind w:left="0" w:right="0" w:hanging="0"/>
              <w:jc w:val="left"/>
              <w:rPr/>
            </w:pPr>
            <w:r>
              <w:rPr>
                <w:rStyle w:val="Emphasis"/>
                <w:rFonts w:ascii="times new roman" w:hAnsi="times new roman"/>
                <w:sz w:val="20"/>
              </w:rPr>
              <w:t>Interim Chief Financial Officer</w:t>
            </w:r>
          </w:p>
          <w:p>
            <w:pPr>
              <w:pStyle w:val="TableContents"/>
              <w:bidi w:val="0"/>
              <w:spacing w:before="0" w:after="0"/>
              <w:ind w:left="0" w:right="0" w:hanging="0"/>
              <w:jc w:val="left"/>
              <w:rPr/>
            </w:pPr>
            <w:r>
              <w:rPr>
                <w:rStyle w:val="Emphasis"/>
                <w:rFonts w:ascii="times new roman" w:hAnsi="times new roman"/>
                <w:sz w:val="20"/>
              </w:rPr>
              <w:t>(Principal Financial and Accounting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16241</Words>
  <Characters>89963</Characters>
  <CharactersWithSpaces>107174</CharactersWithSpaces>
  <Paragraphs>3578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