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ennx-20250930.htm"/>
        <w:bookmarkStart w:id="1" w:name="kstennx20250930"/>
        <w:bookmarkEnd w:id="0"/>
        <w:bookmarkEnd w:id="1"/>
        <w:r>
          <w:rPr>
            <w:rStyle w:val="InternetLink"/>
            <w:rFonts w:ascii="Times New Roman" w:hAnsi="Times New Roman"/>
            <w:b/>
            <w:color w:val="0000FF"/>
            <w:sz w:val="20"/>
            <w:u w:val="single"/>
          </w:rPr>
          <w:t>Table of Contents</w:t>
        </w:r>
      </w:hyperlink>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001-34600</w:t>
      </w:r>
    </w:p>
    <w:p>
      <w:pPr>
        <w:pStyle w:val="TextBody"/>
        <w:bidi w:val="0"/>
        <w:jc w:val="both"/>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TENAX THERAPEUTICS, INC.</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bl>
    <w:p>
      <w:pPr>
        <w:pStyle w:val="TextBody"/>
        <w:bidi w:val="0"/>
        <w:jc w:val="both"/>
        <w:rPr/>
      </w:pPr>
      <w:r>
        <w:rPr/>
        <w:t> </w:t>
      </w:r>
    </w:p>
    <w:tbl>
      <w:tblPr>
        <w:tblW w:w="5346" w:type="dxa"/>
        <w:jc w:val="left"/>
        <w:tblInd w:w="0" w:type="dxa"/>
        <w:tblLayout w:type="fixed"/>
        <w:tblCellMar>
          <w:top w:w="28" w:type="dxa"/>
          <w:left w:w="28" w:type="dxa"/>
          <w:bottom w:w="28" w:type="dxa"/>
          <w:right w:w="28" w:type="dxa"/>
        </w:tblCellMar>
      </w:tblPr>
      <w:tblGrid>
        <w:gridCol w:w="2101"/>
        <w:gridCol w:w="109"/>
        <w:gridCol w:w="31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26-2593535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101 Glen Lennox Drive, Suite 300, Chapel Hill, North Carolina</w:t>
      </w:r>
      <w:r>
        <w:rPr>
          <w:rFonts w:ascii="Times New Roman" w:hAnsi="Times New Roman"/>
          <w:color w:val="000000"/>
          <w:sz w:val="20"/>
          <w:u w:val="single"/>
        </w:rPr>
        <w:t xml:space="preserve"> </w:t>
      </w:r>
      <w:r>
        <w:rPr>
          <w:rFonts w:ascii="Times New Roman" w:hAnsi="Times New Roman"/>
          <w:b/>
          <w:color w:val="000000"/>
          <w:sz w:val="20"/>
          <w:u w:val="single"/>
        </w:rPr>
        <w:t>27517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(919) 855-2100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TENX</w:t>
            </w:r>
          </w:p>
        </w:tc>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of November 11, 2025, the registrant had outstanding 6,243,575 shares of Common Stock.</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11"/>
        <w:gridCol w:w="8547"/>
        <w:gridCol w:w="109"/>
        <w:gridCol w:w="646"/>
        <w:gridCol w:w="192"/>
      </w:tblGrid>
      <w:tr>
        <w:trPr/>
        <w:tc>
          <w:tcPr>
            <w:tcW w:w="711" w:type="dxa"/>
            <w:tcBorders/>
            <w:vAlign w:val="center"/>
          </w:tcPr>
          <w:p>
            <w:pPr>
              <w:pStyle w:val="TableContents"/>
              <w:bidi w:val="0"/>
              <w:spacing w:before="0" w:after="283"/>
              <w:jc w:val="left"/>
              <w:rPr>
                <w:sz w:val="4"/>
                <w:szCs w:val="4"/>
              </w:rPr>
            </w:pPr>
            <w:r>
              <w:rPr>
                <w:sz w:val="4"/>
                <w:szCs w:val="4"/>
              </w:rPr>
            </w:r>
          </w:p>
        </w:tc>
        <w:tc>
          <w:tcPr>
            <w:tcW w:w="8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Financial Statements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(Unaudited) and December 31,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and Nine Months Ended September 30,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 for the Three and Nine Months Ended September 30, 2025 and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Times New Roman" w:hAnsi="Times New Roman"/>
                  <w:color w:val="0000FF"/>
                  <w:sz w:val="20"/>
                  <w:u w:val="single"/>
                </w:rPr>
                <w:t>Condensed Consolidated Statements of Cash Flows (Unaudited) for the Nine Months Ended September 30,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
              <w:r>
                <w:rPr>
                  <w:rStyle w:val="InternetLink"/>
                  <w:rFonts w:ascii="Times New Roman" w:hAnsi="Times New Roman"/>
                  <w:color w:val="0000FF"/>
                  <w:sz w:val="20"/>
                  <w:u w:val="single"/>
                </w:rPr>
                <w:t>Notes to Condensed Consolidated Financial Statements (Unaudited)</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4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00" w:after="283"/>
        <w:jc w:val="both"/>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24"/>
        <w:gridCol w:w="146"/>
        <w:gridCol w:w="257"/>
        <w:gridCol w:w="1025"/>
        <w:gridCol w:w="346"/>
        <w:gridCol w:w="346"/>
        <w:gridCol w:w="254"/>
        <w:gridCol w:w="1014"/>
        <w:gridCol w:w="593"/>
      </w:tblGrid>
      <w:tr>
        <w:trPr/>
        <w:tc>
          <w:tcPr>
            <w:tcW w:w="6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102,810</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undesignated, authorized 4,818,654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par value $0.0001, authorized 5,181,346 shares; issued and outstanding 210,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 authorized 400,000,000 shares; issued and outstanding 5,907,233 as of September 30, 2025 and 3,420,906 as of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10"/>
        <w:gridCol w:w="146"/>
        <w:gridCol w:w="224"/>
        <w:gridCol w:w="1103"/>
        <w:gridCol w:w="176"/>
        <w:gridCol w:w="155"/>
        <w:gridCol w:w="224"/>
        <w:gridCol w:w="1103"/>
        <w:gridCol w:w="166"/>
        <w:gridCol w:w="146"/>
        <w:gridCol w:w="225"/>
        <w:gridCol w:w="1108"/>
        <w:gridCol w:w="177"/>
        <w:gridCol w:w="156"/>
        <w:gridCol w:w="225"/>
        <w:gridCol w:w="996"/>
        <w:gridCol w:w="166"/>
        <w:gridCol w:w="599"/>
      </w:tblGrid>
      <w:tr>
        <w:trPr/>
        <w:tc>
          <w:tcPr>
            <w:tcW w:w="3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(37,059</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prefunded warrants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39,741,404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38,644,395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40"/>
        <w:gridCol w:w="146"/>
        <w:gridCol w:w="249"/>
        <w:gridCol w:w="491"/>
        <w:gridCol w:w="146"/>
        <w:gridCol w:w="146"/>
        <w:gridCol w:w="275"/>
        <w:gridCol w:w="251"/>
        <w:gridCol w:w="146"/>
        <w:gridCol w:w="146"/>
        <w:gridCol w:w="170"/>
        <w:gridCol w:w="686"/>
        <w:gridCol w:w="146"/>
        <w:gridCol w:w="146"/>
        <w:gridCol w:w="263"/>
        <w:gridCol w:w="263"/>
        <w:gridCol w:w="146"/>
        <w:gridCol w:w="146"/>
        <w:gridCol w:w="236"/>
        <w:gridCol w:w="707"/>
        <w:gridCol w:w="146"/>
        <w:gridCol w:w="146"/>
        <w:gridCol w:w="219"/>
        <w:gridCol w:w="718"/>
        <w:gridCol w:w="151"/>
        <w:gridCol w:w="146"/>
        <w:gridCol w:w="258"/>
        <w:gridCol w:w="775"/>
        <w:gridCol w:w="201"/>
      </w:tblGrid>
      <w:tr>
        <w:trPr/>
        <w:tc>
          <w:tcPr>
            <w:tcW w:w="2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298,281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305,351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(297,253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8,098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warrants, and prefunded warrants, net of offering costs of $1,028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cashless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split and fractional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1,958,245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(301,052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12,429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1,958,245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(304,627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8,876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Public offering sale of common stock, warrants, and prefunded warrants,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92,293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3,408,906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405,811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(308,588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97,223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3,420,906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406,848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(314,855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91,993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and prefunded warrants, net of offering costs of $1,746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3,970,385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434,554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(325,263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109,291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4,148,495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439,440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(336,110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103,330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659,338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5,907,233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448,124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(351,914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96,211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8" w:name="condensed_consolidated_statements_cash"/>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17"/>
        <w:gridCol w:w="346"/>
        <w:gridCol w:w="237"/>
        <w:gridCol w:w="827"/>
        <w:gridCol w:w="411"/>
        <w:gridCol w:w="388"/>
        <w:gridCol w:w="237"/>
        <w:gridCol w:w="827"/>
        <w:gridCol w:w="415"/>
      </w:tblGrid>
      <w:tr>
        <w:trPr/>
        <w:tc>
          <w:tcPr>
            <w:tcW w:w="65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debt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warrants and pre-funded warrants,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warrants and pre-funded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short-term note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88,519</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98,311</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9" w:name="notes_to_condensed_consolidated_financi"/>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Tenax Therapeutics, Inc., together with its subsidiaries (collectively “Tenax” or the “Company”), is a Phase 3, development-stage pharmaceutical company using clinical insights to develop novel cardiopulmonary therapies.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incorporated in Delaware and is headquartered in Chapel Hill, North Carolina.</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financed its operations since September 1990 primarily through the sale of equity and debt securities and loans from stockholders. The Company had an accumulated deficit of $351.9 million at September 30, 2025 and incurred losses of $37.1 million and $11.3 million during the nine months ended September 30, 2025 and 2024,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September 30, 2025, the Company had cash and cash equivalents of $99.4 million. Based on its resources on September 30, 2025, Company management believes that it has sufficient funds for the Company to continue its operations over at least the next 12 months from the date these condensed consolidated financial statements were available to be issued.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25, 2025, from which the Company derived the balance sheet data on December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Intercompany balances and transactions have been eliminated upon consolidation.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There have been no material changes in the Company’s significant accounting policies to those previously disclosed in the Annual Report on Form 10-K for the year ended December 31, 2024, other than the following:</w:t>
      </w:r>
    </w:p>
    <w:p>
      <w:pPr>
        <w:pStyle w:val="TextBody"/>
        <w:bidi w:val="0"/>
        <w:jc w:val="both"/>
        <w:rPr>
          <w:rFonts w:ascii="Times New Roman" w:hAnsi="Times New Roman"/>
          <w:b/>
          <w:i/>
          <w:color w:val="000000"/>
          <w:sz w:val="20"/>
        </w:rPr>
      </w:pPr>
      <w:r>
        <w:rPr>
          <w:rFonts w:ascii="Times New Roman" w:hAnsi="Times New Roman"/>
          <w:b/>
          <w:i/>
          <w:color w:val="000000"/>
          <w:sz w:val="20"/>
        </w:rPr>
        <w:t>Cash Concentration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Deposit Insurance Corporation (the “FDIC”) insurance limits are $250,000 per depositor per insured bank. The Company had cash balances of $98.8 million and $1.0 million uninsured by the FDIC as of September 30, 2025 and December 31, 2024, respectively. At December 31, 2024, the Company utilized the IntraFi network of commercial banks which deposits $250,000 in each of its member banks to maintain the FDIC insurance limit.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jc w:val="both"/>
        <w:rPr/>
      </w:pPr>
      <w:r>
        <w:rPr/>
        <w:t> </w:t>
      </w:r>
    </w:p>
    <w:tbl>
      <w:tblPr>
        <w:tblW w:w="6696" w:type="dxa"/>
        <w:jc w:val="left"/>
        <w:tblInd w:w="0" w:type="dxa"/>
        <w:tblLayout w:type="fixed"/>
        <w:tblCellMar>
          <w:top w:w="28" w:type="dxa"/>
          <w:left w:w="28" w:type="dxa"/>
          <w:bottom w:w="28" w:type="dxa"/>
          <w:right w:w="28" w:type="dxa"/>
        </w:tblCellMar>
      </w:tblPr>
      <w:tblGrid>
        <w:gridCol w:w="3421"/>
        <w:gridCol w:w="146"/>
        <w:gridCol w:w="161"/>
        <w:gridCol w:w="1147"/>
        <w:gridCol w:w="161"/>
        <w:gridCol w:w="161"/>
        <w:gridCol w:w="161"/>
        <w:gridCol w:w="1147"/>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19,079,777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19,886,360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Reclassification of Prior Year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year amounts have been reclassified. These reclassifications had no effect on the financial position or reported results of operations for the periods presented. In the Condensed Consolidated Statements of Stockholders' Equity for the three months ended March 31, 2024, the presentation of the public offering sale of common stock, warrants, and pre-funded warrants was presented as proceeds, net of offering costs, of $6.2 million in additional paid-in capital and $1.8 million attributed to the exercise of pre-funded warrants. In the current presentation, this is now presented as $8.0 million, net of offering costs of $1.0 million for the public offering of common stock, warrants, and pre-funded warrants and $1 thousand attributed to the exercise of pre-funded warrants.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ACCRUED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left"/>
        <w:rPr/>
      </w:pPr>
      <w:r>
        <w:rPr/>
        <w:t> </w:t>
      </w:r>
    </w:p>
    <w:p>
      <w:pPr>
        <w:pStyle w:val="TextBody"/>
        <w:bidi w:val="0"/>
        <w:jc w:val="both"/>
        <w:rPr/>
      </w:pPr>
      <w:r>
        <w:rPr/>
        <w:t> </w:t>
      </w:r>
    </w:p>
    <w:tbl>
      <w:tblPr>
        <w:tblW w:w="5670" w:type="dxa"/>
        <w:jc w:val="left"/>
        <w:tblInd w:w="0" w:type="dxa"/>
        <w:tblLayout w:type="fixed"/>
        <w:tblCellMar>
          <w:top w:w="28" w:type="dxa"/>
          <w:left w:w="28" w:type="dxa"/>
          <w:bottom w:w="28" w:type="dxa"/>
          <w:right w:w="28" w:type="dxa"/>
        </w:tblCellMar>
      </w:tblPr>
      <w:tblGrid>
        <w:gridCol w:w="1546"/>
        <w:gridCol w:w="146"/>
        <w:gridCol w:w="589"/>
        <w:gridCol w:w="1181"/>
        <w:gridCol w:w="146"/>
        <w:gridCol w:w="146"/>
        <w:gridCol w:w="465"/>
        <w:gridCol w:w="1260"/>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Simdax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(the “License”). On October 9, 2020 and January 25, 2022, the Company entered into amendments to the License to include in the scope of the License two new oral product formulations containing levosimendan, in capsule and solid dosage form (TNX-103) and a subcutaneously administered dosage form (TNX-102), subject to specified limitations (together,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19, 2024, the Company entered into an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3, 2025, the Company entered into an amendment License providing exclusive worldwide rights to develop, commercialize, manufacture, and have manufactured any orally-administered pharmaceutical product containing levosimendan and, in addition to the Company’s existing rights to develop and commercialize subcutaneously administered products containing levosimendan, to manufacture or have manufactured such products. The amendment also calls for Orion to supply the Company with levosimendan to the extent reasonably necessary or useful to manufacture orally-administered products containing levosimendan for purposes of developing such products, and sets forth the terms for such supply, including the price of levosimendan ordered by the Company of low triple-digit thousands in Euros per kilogram, payment terms, and active pharmaceutical ingredient specifications.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 Company has not met any of the developmental milestones under the License and, accordingly, has not recorded any liability for the contingent payments due to Orion.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litigation in the normal course of business, none of which management believes will have a material adverse effect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Preferred Stock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Certificate of Incorporation, as amended, authorizes the issuance of 400,000,000 shares of $0.0001 par value common stock. As of September 30, 2025 and December 31, 2024, there were 5,907,233 and 3,420,906 shares of common stock issued and outstanding,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September 30, 2025 and December 31, 2024, there were 210 shares of Series A Stock outstanding, convertible in the aggregate into one share of common stock.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March 2025 Private Placement Financing (the “March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with certain accredited investors for the purchase and sale, in a private placement financing by the Company, of (i)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September 30, 2025, no events had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August 2024 Private Placement Financing (the “August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$99.7 million. The pre-funded warrants do not expire and have an exercise price of $0.01. The net proceeds of the August 2024 Offering after deducting placement agent fees and direct offering expenses were $92.3 million. The relative fair value allocated to the common stock, pre-funded warrants, and accompanying warrants was $3.2 million, $69.4 million, and $27.1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will evaluate the contingency at each reporting period. As of September 30, 2025, no events have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Registered Public Offering (the “February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accompanying warrant, resulting in gross proceeds of $9.0 million. The net proceeds of the February 2024 Offering after deducting placement agent fees and direct offering expenses were $8.0 million. The relative fair value allocated to the common stock, pre-funded warrants and warrants was $0.9 million, $2.4 million, and $5.7 million, respectively.</w:t>
      </w:r>
    </w:p>
    <w:p>
      <w:pPr>
        <w:pStyle w:val="TextBody"/>
        <w:bidi w:val="0"/>
        <w:spacing w:before="200" w:after="283"/>
        <w:jc w:val="both"/>
        <w:rPr>
          <w:rFonts w:ascii="Times New Roman" w:hAnsi="Times New Roman"/>
          <w:sz w:val="20"/>
        </w:rPr>
      </w:pPr>
      <w:r>
        <w:rPr>
          <w:rFonts w:ascii="Times New Roman" w:hAnsi="Times New Roman"/>
          <w:i/>
          <w:color w:val="000000"/>
          <w:sz w:val="20"/>
        </w:rPr>
        <w:t>Pre-Funded Warrants Activity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pre-funded warrant activity for the nine months ended September 30, 2025: </w:t>
      </w:r>
    </w:p>
    <w:p>
      <w:pPr>
        <w:pStyle w:val="TextBody"/>
        <w:bidi w:val="0"/>
        <w:spacing w:before="200" w:after="283"/>
        <w:jc w:val="both"/>
        <w:rPr/>
      </w:pPr>
      <w:r>
        <w:rPr/>
        <w:t> </w:t>
      </w:r>
    </w:p>
    <w:tbl>
      <w:tblPr>
        <w:tblW w:w="6905" w:type="dxa"/>
        <w:jc w:val="left"/>
        <w:tblInd w:w="0" w:type="dxa"/>
        <w:tblLayout w:type="fixed"/>
        <w:tblCellMar>
          <w:top w:w="28" w:type="dxa"/>
          <w:left w:w="28" w:type="dxa"/>
          <w:bottom w:w="28" w:type="dxa"/>
          <w:right w:w="28" w:type="dxa"/>
        </w:tblCellMar>
      </w:tblPr>
      <w:tblGrid>
        <w:gridCol w:w="3076"/>
        <w:gridCol w:w="146"/>
        <w:gridCol w:w="228"/>
        <w:gridCol w:w="1617"/>
        <w:gridCol w:w="166"/>
        <w:gridCol w:w="146"/>
        <w:gridCol w:w="415"/>
        <w:gridCol w:w="92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34,326,772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warrant activity for the nine months ended September 30, 2025, not including pre-funded warrants: </w:t>
      </w:r>
    </w:p>
    <w:p>
      <w:pPr>
        <w:pStyle w:val="TextBody"/>
        <w:bidi w:val="0"/>
        <w:jc w:val="both"/>
        <w:rPr/>
      </w:pPr>
      <w:r>
        <w:rPr/>
        <w:t> </w:t>
      </w:r>
    </w:p>
    <w:tbl>
      <w:tblPr>
        <w:tblW w:w="6242" w:type="dxa"/>
        <w:jc w:val="left"/>
        <w:tblInd w:w="0" w:type="dxa"/>
        <w:tblLayout w:type="fixed"/>
        <w:tblCellMar>
          <w:top w:w="28" w:type="dxa"/>
          <w:left w:w="28" w:type="dxa"/>
          <w:bottom w:w="28" w:type="dxa"/>
          <w:right w:w="28" w:type="dxa"/>
        </w:tblCellMar>
      </w:tblPr>
      <w:tblGrid>
        <w:gridCol w:w="3076"/>
        <w:gridCol w:w="146"/>
        <w:gridCol w:w="146"/>
        <w:gridCol w:w="1036"/>
        <w:gridCol w:w="166"/>
        <w:gridCol w:w="146"/>
        <w:gridCol w:w="271"/>
        <w:gridCol w:w="1064"/>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19,079,777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August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$27.1 million was recognized as additional paid in capital. The estimated fair value is determined using the Black-Scholes option pricing model using the following assumptions: remaining estimated term of 1.8 years, risk free interest rate of 3.83%, expected dividends of zero, and expected volatility of 177.27%.</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a part of the February 2024 Offering, the Company issued registered warrants to purchase 3,200,000 shares of its common stock at an exercise price of $5.65 per share and contractual term of five years. In accordance with ASC 815, Derivatives and Hedging, these warrants are classified as equity and their relative fair value of $5.7 million was recognized as additional paid in capital. The estimated fair value was determined using the Black-Scholes option pricing model using the following assumptions: remaining estimated term of 5.0 years, risk free interest rate of 4.12%, expected dividends of zero, and expected volatility of 131.87%.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2022, the Company adopted the 2022 Stock Incentive Plan, as amended on June 7, 2024 and October 25,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2022 Plan, with the approval of the Board’s Compensation Committee, the Company may grant stock options, stock appreciation rights, restricted stock, restricted stock units,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200" w:after="283"/>
        <w:jc w:val="both"/>
        <w:rPr>
          <w:rFonts w:ascii="Times New Roman" w:hAnsi="Times New Roman"/>
          <w:sz w:val="20"/>
        </w:rPr>
      </w:pPr>
      <w:r>
        <w:rPr>
          <w:rFonts w:ascii="Times New Roman" w:hAnsi="Times New Roman"/>
          <w:color w:val="000000"/>
          <w:sz w:val="20"/>
        </w:rPr>
        <w:t>A total of 1,881,121 shares remained available for issuance under the 2022 Plan as of</w:t>
      </w:r>
      <w:r>
        <w:rPr>
          <w:rFonts w:ascii="Times New Roman" w:hAnsi="Times New Roman"/>
          <w:color w:val="212529"/>
          <w:sz w:val="20"/>
        </w:rPr>
        <w:t xml:space="preserve"> September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Summary of Stock 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during the nine months ended September 30, 2025 related to stock options granted to employees and directors under Company option plans were as follows: </w:t>
      </w:r>
    </w:p>
    <w:p>
      <w:pPr>
        <w:pStyle w:val="TextBody"/>
        <w:bidi w:val="0"/>
        <w:jc w:val="both"/>
        <w:rPr/>
      </w:pPr>
      <w:r>
        <w:rPr/>
        <w:t> </w:t>
      </w:r>
    </w:p>
    <w:tbl>
      <w:tblPr>
        <w:tblW w:w="9768" w:type="dxa"/>
        <w:jc w:val="left"/>
        <w:tblInd w:w="0" w:type="dxa"/>
        <w:tblLayout w:type="fixed"/>
        <w:tblCellMar>
          <w:top w:w="28" w:type="dxa"/>
          <w:left w:w="28" w:type="dxa"/>
          <w:bottom w:w="28" w:type="dxa"/>
          <w:right w:w="28" w:type="dxa"/>
        </w:tblCellMar>
      </w:tblPr>
      <w:tblGrid>
        <w:gridCol w:w="3871"/>
        <w:gridCol w:w="146"/>
        <w:gridCol w:w="146"/>
        <w:gridCol w:w="931"/>
        <w:gridCol w:w="166"/>
        <w:gridCol w:w="146"/>
        <w:gridCol w:w="211"/>
        <w:gridCol w:w="1036"/>
        <w:gridCol w:w="146"/>
        <w:gridCol w:w="146"/>
        <w:gridCol w:w="289"/>
        <w:gridCol w:w="926"/>
        <w:gridCol w:w="146"/>
        <w:gridCol w:w="146"/>
        <w:gridCol w:w="267"/>
        <w:gridCol w:w="858"/>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compensation expense for stock options granted under Company stock incentive plans of $5.5 million and $14.0 million for the three and nine months ended September 30, 2025, respectively, and $9 thousand and $35 thousand for the three and nine months ended September 30,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there were unrecognized compensation costs of $18.4 million related to non-vested stock option awards that will be recognized on a straight-line basis over the weighted average remaining vesting period of 1.55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Inducement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250,000 shares of common stock to a new employee on January 21, 2025. This employment inducement stock option was awarded in accordance with the employment inducement award exemption provided by Nasdaq Listing Rule 5635(c)(4) and was therefore not awarded under the Company’s stockholder approved equity plan. The option award will vest in four equal annual installments beginning on the first anniversary of the date of issuance, subject to the employee's continued employment with the Company through each applicable vesting date. The option has a 10-year term and an exercise price of $6.45 per share, the January 21, 2025 closing price of the Company’s common stock. The estimated fair value of the inducement stock option award was $1.4 million using the Black-Scholes option pricing model based on market prices and the following assumptions at the date of inducement option grant: risk-free interest rate of 4.49%, dividend yield of 0%, volatility factor for our common stock of 123.41% and an expected life of 6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This award vested as follows: 25% on the one-year anniversary of the Chief Executive Officer's employment start date and an additional 25% on each of the following three anniversaries of the Chief Executive Officer's employment start date, subject to continued employment. The option has a 10-year term and an exercise price of $3,152 per share, the July 6, 2021 closing price of our common stock. As of September 30, 2025, 75% of the vesting milestones had been achieved.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granted an employment inducement stock option award for 157 shares of common stock to its then-new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September 30, 2025, two of the vesting milestones had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Inducement stock option compensation expense totaled $89 thousand and $326 thousand for the three and nine months ended September 30, 2025, respectively, and $6 thousand and $121 thousand for the three and nine months ended September 30, 2024, respectively. As of September 30, 2025, there was $1.4 million of remaining unrecognized compensation expense related to these inducement stock options.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the United States and manages the business activities on a consolidated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of the cardiovascular and pulmonary therapeutics segment are the same as those described in the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and nine months ended September 30, 2025 and 2024 (in thousands).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4"/>
        <w:gridCol w:w="223"/>
        <w:gridCol w:w="755"/>
        <w:gridCol w:w="646"/>
        <w:gridCol w:w="623"/>
        <w:gridCol w:w="223"/>
        <w:gridCol w:w="652"/>
        <w:gridCol w:w="566"/>
        <w:gridCol w:w="546"/>
        <w:gridCol w:w="216"/>
        <w:gridCol w:w="730"/>
        <w:gridCol w:w="625"/>
        <w:gridCol w:w="603"/>
        <w:gridCol w:w="216"/>
        <w:gridCol w:w="730"/>
        <w:gridCol w:w="617"/>
      </w:tblGrid>
      <w:tr>
        <w:trPr/>
        <w:tc>
          <w:tcPr>
            <w:tcW w:w="22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2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22,132</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17,804</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4,084</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16,806</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39,936</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(16,806</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(39,936</w:t>
            </w:r>
          </w:p>
        </w:tc>
        <w:tc>
          <w:tcPr>
            <w:tcW w:w="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 (a)</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w:t>
            </w:r>
          </w:p>
        </w:tc>
        <w:tc>
          <w:tcPr>
            <w:tcW w:w="6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expense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income (expense), net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 (b)</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(15,804</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(37,059</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(11,335</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segment items included in segment loss includes interest income and 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single operating segment and therefore the measure of segment net loss is the same as consolidated net loss and does not require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nine months ended September 30, 2025 and 2024, the net cash used in operating activities was $22.4 million and $11.3 million, respectively. The table below summarizes the significant asset categories regularly reviewed by the CODM at September 30, 2025 and September 30, 2024 (in thousands). </w:t>
      </w:r>
    </w:p>
    <w:tbl>
      <w:tblPr>
        <w:tblW w:w="8035" w:type="dxa"/>
        <w:jc w:val="left"/>
        <w:tblInd w:w="0" w:type="dxa"/>
        <w:tblLayout w:type="fixed"/>
        <w:tblCellMar>
          <w:top w:w="28" w:type="dxa"/>
          <w:left w:w="28" w:type="dxa"/>
          <w:bottom w:w="28" w:type="dxa"/>
          <w:right w:w="28" w:type="dxa"/>
        </w:tblCellMar>
      </w:tblPr>
      <w:tblGrid>
        <w:gridCol w:w="2666"/>
        <w:gridCol w:w="420"/>
        <w:gridCol w:w="1350"/>
        <w:gridCol w:w="546"/>
        <w:gridCol w:w="546"/>
        <w:gridCol w:w="420"/>
        <w:gridCol w:w="1350"/>
        <w:gridCol w:w="146"/>
        <w:gridCol w:w="591"/>
      </w:tblGrid>
      <w:tr>
        <w:trPr/>
        <w:tc>
          <w:tcPr>
            <w:tcW w:w="26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Subsequent to September 30, 2025, the Company received a total of $1.2 million from the exercise of pre-funded warrants for 115,244 shares of common stock and warrants for 221,098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2024. All references in this Quarterly Report to “Tenax Therapeutics,” “we,” “our” and “us” means Tenax Therapeutics,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Tenax Therapeutics is a clinical-stage pharmaceutical company leveraging clinical insights to develop novel cardiopulmonary therapies. We employ a clinician-driven drug development approach, led by key opinion leaders and advised by thought leaders who are pulmonary hypertension and heart failure experts and informed by their clinical insights to precisely target disease pathophysiology. We are currently actively conducting the LEVEL clinical trial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cardiology and pulmonary hypertension experts, puts us in a strong position to deliver breakthrough cardiopulmonary therapies designed to improve patients’ function and quality of life.</w:t>
      </w:r>
    </w:p>
    <w:p>
      <w:pPr>
        <w:pStyle w:val="TextBody"/>
        <w:bidi w:val="0"/>
        <w:spacing w:before="40" w:after="160"/>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In March 2025, we closed a private placement financing (the “March 2025 Offering”) raising gross proceeds of approximately $25.0 million. We intend to use the net proceeds from the March 2025 Offering to advance our Phase 3 oral levosimendan program, by completing our ongoing Phase 3 LEVEL study of TNX-103 in pulmonary hypertension resulting from heart failure with preserved ejection fraction (PH-HFpEF) and initiating a second global Phase 3 study, LEVEL-2. We intend to submit marketing authorization applications following completion of the two Phase 3 trials of levosimendan and, when appropriate, a single Phase 3 trial of imatinib.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Patient enrollment in our Phase 3 LEVEL study continues, with high rates of study and therapy continuation during the blinded and open-label extension stages. We expect to enroll 230 patients in the first half of 2026. LEVEL is being conducted in the United States and Canada. We remain on track to commence LEVEL-2 this year. The LEVEL-2 trial will have a global footprint.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Given our resources on September 30, 2025, we believe we can continue our operations through 2027.</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Financial Overview – Three and Nine Months Ended September 30, 2025 (in thousands)</w:t>
      </w:r>
    </w:p>
    <w:p>
      <w:pPr>
        <w:pStyle w:val="TextBody"/>
        <w:bidi w:val="0"/>
        <w:spacing w:before="200" w:after="283"/>
        <w:jc w:val="both"/>
        <w:rPr/>
      </w:pPr>
      <w:r>
        <w:rPr/>
        <w:t> </w:t>
      </w:r>
    </w:p>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8182" w:type="dxa"/>
        <w:jc w:val="left"/>
        <w:tblInd w:w="0" w:type="dxa"/>
        <w:tblLayout w:type="fixed"/>
        <w:tblCellMar>
          <w:top w:w="28" w:type="dxa"/>
          <w:left w:w="28" w:type="dxa"/>
          <w:bottom w:w="28" w:type="dxa"/>
          <w:right w:w="28" w:type="dxa"/>
        </w:tblCellMar>
      </w:tblPr>
      <w:tblGrid>
        <w:gridCol w:w="1511"/>
        <w:gridCol w:w="196"/>
        <w:gridCol w:w="661"/>
        <w:gridCol w:w="566"/>
        <w:gridCol w:w="546"/>
        <w:gridCol w:w="196"/>
        <w:gridCol w:w="571"/>
        <w:gridCol w:w="566"/>
        <w:gridCol w:w="546"/>
        <w:gridCol w:w="196"/>
        <w:gridCol w:w="661"/>
        <w:gridCol w:w="566"/>
        <w:gridCol w:w="546"/>
        <w:gridCol w:w="229"/>
        <w:gridCol w:w="687"/>
        <w:gridCol w:w="546"/>
        <w:gridCol w:w="716"/>
        <w:gridCol w:w="546"/>
        <w:gridCol w:w="196"/>
        <w:gridCol w:w="661"/>
        <w:gridCol w:w="566"/>
        <w:gridCol w:w="546"/>
        <w:gridCol w:w="196"/>
        <w:gridCol w:w="661"/>
        <w:gridCol w:w="566"/>
        <w:gridCol w:w="546"/>
        <w:gridCol w:w="196"/>
        <w:gridCol w:w="661"/>
        <w:gridCol w:w="566"/>
        <w:gridCol w:w="546"/>
        <w:gridCol w:w="229"/>
        <w:gridCol w:w="687"/>
        <w:gridCol w:w="546"/>
        <w:gridCol w:w="761"/>
      </w:tblGrid>
      <w:tr>
        <w:trPr/>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(15,804</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(11,843</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(37,059</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(25,724</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include, but are not limited to, (i) expenses incurred under agreements with CROs and investigative sites, which conduct a substantial portion of our pre-clinical and clinical studies; (ii) the cost of supplying clinical trial materials; (iii) payments to CROs and consultants; (iv) employee-related expenses, including salaries, non-cash stock compensation expense, and benefits; and (v) facilities, depreciation and other allocated expenses, including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and nine months ended September 30, 2025 and 2024 are as follows (in thousands):</w:t>
      </w:r>
    </w:p>
    <w:p>
      <w:pPr>
        <w:pStyle w:val="TextBody"/>
        <w:bidi w:val="0"/>
        <w:spacing w:before="200" w:after="283"/>
        <w:jc w:val="both"/>
        <w:rPr/>
      </w:pPr>
      <w:r>
        <w:rPr/>
        <w:t> </w:t>
      </w:r>
    </w:p>
    <w:p>
      <w:pPr>
        <w:pStyle w:val="TextBody"/>
        <w:bidi w:val="0"/>
        <w:jc w:val="both"/>
        <w:rPr/>
      </w:pPr>
      <w:r>
        <w:rPr/>
        <w:t> </w:t>
      </w:r>
    </w:p>
    <w:tbl>
      <w:tblPr>
        <w:tblW w:w="10462" w:type="dxa"/>
        <w:jc w:val="left"/>
        <w:tblInd w:w="0" w:type="dxa"/>
        <w:tblLayout w:type="fixed"/>
        <w:tblCellMar>
          <w:top w:w="28" w:type="dxa"/>
          <w:left w:w="28" w:type="dxa"/>
          <w:bottom w:w="28" w:type="dxa"/>
          <w:right w:w="28" w:type="dxa"/>
        </w:tblCellMar>
      </w:tblPr>
      <w:tblGrid>
        <w:gridCol w:w="1081"/>
        <w:gridCol w:w="146"/>
        <w:gridCol w:w="196"/>
        <w:gridCol w:w="511"/>
        <w:gridCol w:w="146"/>
        <w:gridCol w:w="146"/>
        <w:gridCol w:w="196"/>
        <w:gridCol w:w="511"/>
        <w:gridCol w:w="146"/>
        <w:gridCol w:w="146"/>
        <w:gridCol w:w="224"/>
        <w:gridCol w:w="587"/>
        <w:gridCol w:w="146"/>
        <w:gridCol w:w="146"/>
        <w:gridCol w:w="179"/>
        <w:gridCol w:w="737"/>
        <w:gridCol w:w="146"/>
        <w:gridCol w:w="241"/>
        <w:gridCol w:w="146"/>
        <w:gridCol w:w="146"/>
        <w:gridCol w:w="196"/>
        <w:gridCol w:w="601"/>
        <w:gridCol w:w="146"/>
        <w:gridCol w:w="146"/>
        <w:gridCol w:w="196"/>
        <w:gridCol w:w="511"/>
        <w:gridCol w:w="146"/>
        <w:gridCol w:w="146"/>
        <w:gridCol w:w="224"/>
        <w:gridCol w:w="587"/>
        <w:gridCol w:w="146"/>
        <w:gridCol w:w="146"/>
        <w:gridCol w:w="203"/>
        <w:gridCol w:w="713"/>
        <w:gridCol w:w="146"/>
        <w:gridCol w:w="28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Clinical and preclinical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Clinical and preclinical development costs increased $5.7 million and $10.0 million for the three and nine months ended September 30, 2025, respectively, as compared to the same periods in the prior year. Clinical and preclinical development costs for the three and nine months ended September 30, 2025 consists primarily of expenses associated with our ongoing Phase 3 LEVEL trial and our second global Phase 3 study, LEVEL-2, for which we are conducting start-up activities, compared with costs for the three and nine month periods ended September 30, 2024, associated with the planning of LEVEL and the initiation of the first LEVEL sites and enrollment of the first LEVEL patients.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Salary and benefits costs increased for the three and nine months ended September 30, 2025 as compared to the same periods in the prior year primarily due to higher salaries and additional performance-based compensation expense as a result of an increase in the number of employees. Non-cash stock-based compensation expense increased by $1.1 million and $2.9 million for the three and nine months ended September 30, 2025, respectively, as compared to the same periods in 2024 primarily due to stock options granted in December 2024, for which the expense is being amortized over a one year vesting period, in addition to new option grants made in 2025 to new and existing employees that vest and are being expensed over four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costs increased for the three and nine months ended September 30, 2025 as compared to the same periods in the prior year, primarily due to increased regulatory consulting costs as we expanded our ongoing Phase 3 LEVEL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for executive, finance, legal and administrative personnel, including non-cash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and nine months ended September 30, 2025 and 2024 are as follows (in thousands):</w:t>
      </w:r>
    </w:p>
    <w:p>
      <w:pPr>
        <w:pStyle w:val="TextBody"/>
        <w:bidi w:val="0"/>
        <w:jc w:val="both"/>
        <w:rPr/>
      </w:pPr>
      <w:r>
        <w:rPr/>
        <w:t> </w:t>
      </w:r>
    </w:p>
    <w:tbl>
      <w:tblPr>
        <w:tblW w:w="10327" w:type="dxa"/>
        <w:jc w:val="left"/>
        <w:tblInd w:w="0" w:type="dxa"/>
        <w:tblLayout w:type="fixed"/>
        <w:tblCellMar>
          <w:top w:w="28" w:type="dxa"/>
          <w:left w:w="28" w:type="dxa"/>
          <w:bottom w:w="28" w:type="dxa"/>
          <w:right w:w="28" w:type="dxa"/>
        </w:tblCellMar>
      </w:tblPr>
      <w:tblGrid>
        <w:gridCol w:w="1081"/>
        <w:gridCol w:w="146"/>
        <w:gridCol w:w="196"/>
        <w:gridCol w:w="511"/>
        <w:gridCol w:w="146"/>
        <w:gridCol w:w="146"/>
        <w:gridCol w:w="196"/>
        <w:gridCol w:w="376"/>
        <w:gridCol w:w="146"/>
        <w:gridCol w:w="146"/>
        <w:gridCol w:w="224"/>
        <w:gridCol w:w="587"/>
        <w:gridCol w:w="146"/>
        <w:gridCol w:w="146"/>
        <w:gridCol w:w="179"/>
        <w:gridCol w:w="737"/>
        <w:gridCol w:w="146"/>
        <w:gridCol w:w="241"/>
        <w:gridCol w:w="146"/>
        <w:gridCol w:w="146"/>
        <w:gridCol w:w="196"/>
        <w:gridCol w:w="601"/>
        <w:gridCol w:w="146"/>
        <w:gridCol w:w="146"/>
        <w:gridCol w:w="196"/>
        <w:gridCol w:w="511"/>
        <w:gridCol w:w="146"/>
        <w:gridCol w:w="146"/>
        <w:gridCol w:w="199"/>
        <w:gridCol w:w="612"/>
        <w:gridCol w:w="146"/>
        <w:gridCol w:w="146"/>
        <w:gridCol w:w="179"/>
        <w:gridCol w:w="737"/>
        <w:gridCol w:w="146"/>
        <w:gridCol w:w="28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Non-cash stock-based compensation expense increased $4.5 million and $11.4 million for the three and nine months ended September 30, 2025, respectively, as compared to the same periods in 2024 primarily due to stock options granted in December 2024, for which the expense amortizes over a one-year vesting term, in addition to new option grants made in 2025.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$0.2 million and $1.5 million for the three and nine month periods ended September 30, 2025, respectively, as compared to the same periods in the prior year primarily related to increased capital market expenses, consulting expenses, and accounting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costs include expenses incurred for franchise and other taxes, travel, supplies, insurance, depreciation, and other miscellaneous charges. Other costs increased $0.2 million and $0.7 million for the three and nine months ended September 30, 2025, respectively, as compared to the same periods in the prior year primarily due to increased franchise and other taxes, travel, and insurance related to the growth of the Company.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 Interest Expense, and 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$0.4 million and $2.0 million for the three and nine months ended September 30, 2025, respectively, as compared to the same periods in the prior year primarily related to higher interest income on increased cash deposits as a result of the August 2024 Offering and the March 2025 Offering, and increased interest rate. The Company had no interest expense for the three and nine months ended September 30, 2025 and an immaterial amount for the comparable periods in the prior year.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Capital Resources and Plan of Operation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incurred losses since our inception and, as of September 30, 2025, we had an accumulated deficit of $351.9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of conducting preclinical studies and clinical trials necessary to obtain approval from the United States Food and Drug Administration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financed our operations since September 1990 through the issuance of debt and equity securities and loans from stockholders. We had total current assets of $102.8 million and $96.7 million and working capital of $96.2 million and $92.0 million as of September 30, 2025 and December 31, 2024, respectively. Our practice is to invest excess cash, where available, in short-term money market investment instruments and high quality corporate and government bonds.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conducting the LEVEL trial and intend to recruit patients concluding in approximately the first half of 2026. Our ability to continue to pursue development of our products, including completion of the second global Phase 3 trial (LEVEL-2), beyond 2027, will depend on obtaining license income, income from warrants exercised by investors should they elect to do so, or outside financial resources. There is no assurance that we will obtain any license agreement or outside financing or that we will otherwise succeed in obtaining any necessary resources.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5, 2025, we sold in the March 2025 Offering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offering were $23.2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2024, we sold in the August 2024 Offering an aggregate of 1,450,661 shares of our common stock, and pre-funded warrants to purchase 31,882,671 shares of our common stock, along with accompanying warrants to purchase up to 16,666,666 shares of our common stock. The purchase price for each share and accompanying warrant was $3.00, with the accompanying warrant having an exercise price of $4.50 (provided, the purchase price for each pre-funded warrant and accompanying warrant was $2.99, with the pre-funded warrants having an exercise price of $0.01). Net proceeds from the offering were $92.3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8, 2024, we sold in the February 2024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accompanying warrant, or $5.649 per pre-funded warrant and accompanying warrant. Net proceeds of the offering were $8.0 million, after deducting the placement agent fees and offering expenses payable by the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a summary of our cash flows for the periods indicated (in thousands):</w:t>
      </w:r>
    </w:p>
    <w:p>
      <w:pPr>
        <w:pStyle w:val="TextBody"/>
        <w:bidi w:val="0"/>
        <w:jc w:val="both"/>
        <w:rPr/>
      </w:pPr>
      <w:r>
        <w:rPr/>
        <w:t> </w:t>
      </w:r>
    </w:p>
    <w:tbl>
      <w:tblPr>
        <w:tblW w:w="6962" w:type="dxa"/>
        <w:jc w:val="left"/>
        <w:tblInd w:w="0" w:type="dxa"/>
        <w:tblLayout w:type="fixed"/>
        <w:tblCellMar>
          <w:top w:w="28" w:type="dxa"/>
          <w:left w:w="28" w:type="dxa"/>
          <w:bottom w:w="28" w:type="dxa"/>
          <w:right w:w="28" w:type="dxa"/>
        </w:tblCellMar>
      </w:tblPr>
      <w:tblGrid>
        <w:gridCol w:w="3566"/>
        <w:gridCol w:w="146"/>
        <w:gridCol w:w="281"/>
        <w:gridCol w:w="981"/>
        <w:gridCol w:w="221"/>
        <w:gridCol w:w="194"/>
        <w:gridCol w:w="281"/>
        <w:gridCol w:w="981"/>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$22.4 million for the nine months ended September 30, 2025, compared to $11.3 million for the nine months ended September 30, 2024. The increase in cash used in operating activities was primarily due to increased expenses as we expanded our clinical trials and increased payroll costs. The increase in payroll costs was primarily driven by the addition of new employees and targeted salary adjustments, reflecting a necessary investment to support our expanded clinical trial activity during the nine months ended September 30, 2025 as compared to the prior year.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was no net cash provided or consumed by investing activities for the nine months ended September 30, 2025 or the nine months ended September 30, 2024.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Net cash provided by financing activities was $26.9 million for the nine months ended September 30, 2025, compared to $99.8 million for the nine months ended September 30, 2024, a decrease of $72.9 million. During the nine months ended September 30, 2025, the Company received proceeds of $23.2 million net cash provided from the sale of common stock and pre-funded warrants in the March 2025 Offering and $3.7 million from the exercise of warrants and pre-funded warrants. During the nine months ended September 30, 2024 the Company received proceeds of a total of </w:t>
      </w:r>
      <w:r>
        <w:rPr>
          <w:rFonts w:ascii="times new roman;serif" w:hAnsi="times new roman;serif"/>
          <w:color w:val="212529"/>
          <w:sz w:val="20"/>
        </w:rPr>
        <w:t xml:space="preserve">$98.5 million from the August 8, 2024 and February 8, 2024 sales of common stock, and $1.8 million from the exercise of warrants and pre-funded warrants, </w:t>
      </w:r>
      <w:r>
        <w:rPr>
          <w:rFonts w:ascii="Times New Roman" w:hAnsi="Times New Roman"/>
          <w:color w:val="000000"/>
          <w:sz w:val="20"/>
        </w:rPr>
        <w:t xml:space="preserve">offset by the principal payment of $0.5 million related to a short-term note.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that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design, footprint, progress, timing and completion of clinical trials for our product candidates and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and the regulatory approval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that may be caused by changing regulatory requirements and resource levels at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product candidates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filing and prosecuting patent applications and enforcing and defending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terms of future collaboration, licensing, consulting or other arrangements that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marketing, manufacturing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procuring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or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costs of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working capital on September 30, 2025, we believe we have sufficient capital on hand to fund operations through 2027.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2024 and Note 2 to our unaudited condensed consolidated financial statements included in Part I, Item 1 of this Quarterly Report on Form 10-Q.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Smaller reporting companies are not required to provide the information required by this item.</w:t>
      </w:r>
    </w:p>
    <w:p>
      <w:pPr>
        <w:pStyle w:val="TextBody"/>
        <w:bidi w:val="0"/>
        <w:spacing w:before="20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our President and Chief Executive Officer and Interim Chief Financial Officer concluded that our disclosure controls and procedures were effective as of September 30, 2025,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most recently completed fiscal quarter, management reviewed all work generated in support of the financial statements and corresponding footnotes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w:t>
      </w:r>
      <w:bookmarkStart w:id="13" w:name="part_ii_other_information"/>
      <w:bookmarkEnd w:id="13"/>
      <w:r>
        <w:rPr>
          <w:rFonts w:ascii="Times New Roman" w:hAnsi="Times New Roman"/>
          <w:b/>
          <w:color w:val="000000"/>
          <w:sz w:val="20"/>
        </w:rPr>
        <w:t>MATION</w:t>
      </w:r>
    </w:p>
    <w:p>
      <w:pPr>
        <w:pStyle w:val="TextBody"/>
        <w:bidi w:val="0"/>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both"/>
        <w:rPr>
          <w:rFonts w:ascii="Times New Roman" w:hAnsi="Times New Roman"/>
          <w:color w:val="000000"/>
          <w:sz w:val="20"/>
        </w:rPr>
      </w:pPr>
      <w:r>
        <w:rPr>
          <w:rFonts w:ascii="Times New Roman" w:hAnsi="Times New Roman"/>
          <w:color w:val="000000"/>
          <w:sz w:val="20"/>
        </w:rPr>
        <w:t>There are no material pending legal proceedings to which we are a party or to which any of our property is subject.</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risks we face have not materially changed from those disclosed in our Annual Report on Form 10-K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exhibits are being filed or furnished as part of this Quarterly Report on Form 10-Q and are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10.1+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to the License Agreement of September 20, 2013 by and between Tenax Therapeutics, Inc. and Orion Corporation, dated as of September 3, 2025 (incorporated by reference to Exhibit 10.1 to the Company’s Form 8-K filed with the SEC on September 9,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Certification of President and Chief Executive Officer pursuant to Section 302 of the Sarbanes Oxley Act of 2002.</w:t>
              </w:r>
            </w:hyperlink>
            <w:hyperlink w:anchor="tennx-ex31_1.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31.2*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Certification of Interim Chief Financial Officer pursuant to Section 302 of the Sarbanes Oxley Act of 2002.</w:t>
              </w:r>
            </w:hyperlink>
            <w:hyperlink w:anchor="tennx-ex31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Certification of President and Chief Executive Officer pursuant to 18 U.S.C. Section 1350, as adopted pursuant to Section 906 of the Sarbanes-Oxley Act of 2002.</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32.2**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Certification of Interim Chief Financial Officer pursuant to 18 U.S.C. Section 1350, as adopted pursuant to Section 906 of the Sarbanes-Oxley Act of 2002.</w:t>
              </w:r>
            </w:hyperlink>
            <w:hyperlink w:anchor="tennx-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Document Set for the condensed consolidated financial statements and accompanying notes in Part I, Item 1, “Financial Statements” of this Quarterly Report on Form 10-Q.</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r>
    </w:tbl>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omitted pursuant to Items 601(b)(10)(iv) of Regulation S-K. The Company agrees to furnish supplementally an unredacted copy of this Exhibit to the Securities and Exchange Commission upon request.</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November 12, 2025</w:t>
      </w:r>
    </w:p>
    <w:p>
      <w:pPr>
        <w:pStyle w:val="TextBody"/>
        <w:bidi w:val="0"/>
        <w:jc w:val="both"/>
        <w:rPr/>
      </w:pPr>
      <w:r>
        <w:rPr/>
        <w:t> </w:t>
      </w:r>
    </w:p>
    <w:tbl>
      <w:tblPr>
        <w:tblW w:w="7869" w:type="dxa"/>
        <w:jc w:val="left"/>
        <w:tblInd w:w="0" w:type="dxa"/>
        <w:tblLayout w:type="fixed"/>
        <w:tblCellMar>
          <w:top w:w="28" w:type="dxa"/>
          <w:left w:w="28" w:type="dxa"/>
          <w:bottom w:w="28" w:type="dxa"/>
          <w:right w:w="28" w:type="dxa"/>
        </w:tblCellMar>
      </w:tblPr>
      <w:tblGrid>
        <w:gridCol w:w="161"/>
        <w:gridCol w:w="406"/>
        <w:gridCol w:w="71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TENAX THERAPEUTICS,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11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A. McGauley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Interim Chief Financial Officer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Principal Financial Officer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tennx-ex31_1.htm"/>
      <w:bookmarkStart w:id="19" w:name="kstennxex31_1"/>
      <w:bookmarkEnd w:id="18"/>
      <w:bookmarkEnd w:id="19"/>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Christopher T. Giordano,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447" w:type="dxa"/>
        <w:jc w:val="left"/>
        <w:tblInd w:w="0" w:type="dxa"/>
        <w:tblLayout w:type="fixed"/>
        <w:tblCellMar>
          <w:top w:w="28" w:type="dxa"/>
          <w:left w:w="28" w:type="dxa"/>
          <w:bottom w:w="28" w:type="dxa"/>
          <w:right w:w="28" w:type="dxa"/>
        </w:tblCellMar>
      </w:tblPr>
      <w:tblGrid>
        <w:gridCol w:w="2206"/>
        <w:gridCol w:w="3241"/>
      </w:tblGrid>
      <w:tr>
        <w:trPr/>
        <w:tc>
          <w:tcPr>
            <w:tcW w:w="220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12, 2025</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tennx-ex31_2.htm"/>
      <w:bookmarkStart w:id="21" w:name="kstennxex31_2"/>
      <w:bookmarkEnd w:id="20"/>
      <w:bookmarkEnd w:id="21"/>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Thomas A. McGauley,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072" w:type="dxa"/>
        <w:jc w:val="left"/>
        <w:tblInd w:w="0" w:type="dxa"/>
        <w:tblLayout w:type="fixed"/>
        <w:tblCellMar>
          <w:top w:w="28" w:type="dxa"/>
          <w:left w:w="28" w:type="dxa"/>
          <w:bottom w:w="28" w:type="dxa"/>
          <w:right w:w="28" w:type="dxa"/>
        </w:tblCellMar>
      </w:tblPr>
      <w:tblGrid>
        <w:gridCol w:w="2206"/>
        <w:gridCol w:w="2866"/>
      </w:tblGrid>
      <w:tr>
        <w:trPr/>
        <w:tc>
          <w:tcPr>
            <w:tcW w:w="22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12, 2025</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Interim Chief Financial Officer</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ennx-ex32_1.htm"/>
      <w:bookmarkStart w:id="23" w:name="kstennxex32_1"/>
      <w:bookmarkEnd w:id="22"/>
      <w:bookmarkEnd w:id="2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September 30, 2025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November 12, 2025</w:t>
      </w:r>
    </w:p>
    <w:p>
      <w:pPr>
        <w:pStyle w:val="TextBody"/>
        <w:bidi w:val="0"/>
        <w:jc w:val="both"/>
        <w:rPr/>
      </w:pPr>
      <w:r>
        <w:rPr/>
        <w:t> </w:t>
      </w:r>
    </w:p>
    <w:tbl>
      <w:tblPr>
        <w:tblW w:w="3694" w:type="dxa"/>
        <w:jc w:val="left"/>
        <w:tblInd w:w="0" w:type="dxa"/>
        <w:tblLayout w:type="fixed"/>
        <w:tblCellMar>
          <w:top w:w="28" w:type="dxa"/>
          <w:left w:w="28" w:type="dxa"/>
          <w:bottom w:w="28" w:type="dxa"/>
          <w:right w:w="28" w:type="dxa"/>
        </w:tblCellMar>
      </w:tblPr>
      <w:tblGrid>
        <w:gridCol w:w="161"/>
        <w:gridCol w:w="146"/>
        <w:gridCol w:w="31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ennx-ex32_2.htm"/>
      <w:bookmarkStart w:id="25" w:name="kstennxex32_2"/>
      <w:bookmarkEnd w:id="24"/>
      <w:bookmarkEnd w:id="25"/>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September 30, 2025 as filed with the Securities and Exchange Commission on the date hereof (the “Report”), I, Thomas A. McGauley, Interim Chief Financial Officer (Principal Financial and Accounting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November 12, 2025</w:t>
      </w:r>
    </w:p>
    <w:p>
      <w:pPr>
        <w:pStyle w:val="TextBody"/>
        <w:bidi w:val="0"/>
        <w:jc w:val="both"/>
        <w:rPr/>
      </w:pPr>
      <w:r>
        <w:rPr/>
        <w:t> </w:t>
      </w:r>
    </w:p>
    <w:tbl>
      <w:tblPr>
        <w:tblW w:w="4828" w:type="dxa"/>
        <w:jc w:val="left"/>
        <w:tblInd w:w="0" w:type="dxa"/>
        <w:tblLayout w:type="fixed"/>
        <w:tblCellMar>
          <w:top w:w="28" w:type="dxa"/>
          <w:left w:w="28" w:type="dxa"/>
          <w:bottom w:w="28" w:type="dxa"/>
          <w:right w:w="28" w:type="dxa"/>
        </w:tblCellMar>
      </w:tblPr>
      <w:tblGrid>
        <w:gridCol w:w="124"/>
        <w:gridCol w:w="109"/>
        <w:gridCol w:w="44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Interim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Accounting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40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4956/000165495425010510/tennx_ex101.htm" TargetMode="External"/><Relationship Id="rId3" Type="http://schemas.openxmlformats.org/officeDocument/2006/relationships/hyperlink" Target="https://www.sec.gov/Archives/edgar/data/34956/000165495425010510/tennx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12320</Words>
  <Characters>67084</Characters>
  <CharactersWithSpaces>80155</CharactersWithSpaces>
  <Paragraphs>3539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