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Tenax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001-34600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26-2593535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ind w:left="4224"/>
        <w:spacing w:after="0"/>
        <w:rPr>
          <w:sz w:val="20"/>
          <w:szCs w:val="20"/>
          <w:color w:val="auto"/>
        </w:rPr>
      </w:pPr>
      <w:r>
        <w:rPr>
          <w:rFonts w:ascii="Times New Roman" w:cs="Times New Roman" w:eastAsia="Times New Roman" w:hAnsi="Times New Roman"/>
          <w:sz w:val="18"/>
          <w:szCs w:val="18"/>
          <w:b w:val="1"/>
          <w:bCs w:val="1"/>
          <w:color w:val="auto"/>
        </w:rPr>
        <w:t>101 Glen Lennox Drive, Suite 300</w:t>
      </w:r>
    </w:p>
    <w:p>
      <w:pPr>
        <w:spacing w:after="0" w:line="31" w:lineRule="exact"/>
        <w:rPr>
          <w:sz w:val="24"/>
          <w:szCs w:val="24"/>
          <w:color w:val="auto"/>
        </w:rPr>
      </w:pPr>
    </w:p>
    <w:p>
      <w:pPr>
        <w:ind w:left="4184"/>
        <w:spacing w:after="0"/>
        <w:rPr>
          <w:sz w:val="20"/>
          <w:szCs w:val="20"/>
          <w:color w:val="auto"/>
        </w:rPr>
      </w:pPr>
      <w:r>
        <w:rPr>
          <w:rFonts w:ascii="Times New Roman" w:cs="Times New Roman" w:eastAsia="Times New Roman" w:hAnsi="Times New Roman"/>
          <w:sz w:val="18"/>
          <w:szCs w:val="18"/>
          <w:b w:val="1"/>
          <w:bCs w:val="1"/>
          <w:color w:val="auto"/>
        </w:rPr>
        <w:t>Chapel Hill, North Carolina 27517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919-855-2100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TENX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700" w:space="500"/>
            <w:col w:w="9760"/>
          </w:cols>
          <w:pgMar w:left="440" w:top="293" w:right="49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 Amendments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June 26, 2026, the Board of Directors (the “Board”) of Tenax Therapeutics, Inc. (the “Company”), upon the recommendation of the Compensation Committee of the Board (the “Compensation Committee”), approved amendments to the employment agreements of Christopher Giordano, Thomas Staab, and Stuart Rich (collectively, the “Employment Agreement Amendments”). Each of these executives is party to an individual employment agreement with the Company and is not eligible to participate in the newly adopted Tenax Therapeutics, Inc. Change in Control Plan (the “CIC Plan”) and Tenax Therapeutics, Inc. Severance Plan (the “Severance Plan”) (each as described below). The Employment Agreement Amendments amend the existing employment agreements to provide severance and other benefits that are generally based on the severance and change in control benefits that each such executive would be eligible to receive under the CIC Plan and the Severance Plan, as applicable. Each executive’s entitlement to these payments is conditioned upon execution of a release of claims.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Terminations Not in Connection with a Change in Control</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event Mr. Giordano, Dr. Rich or Mr. Staab’s employment is terminated by the Company without Cause, or if the Company elects not to renew the executive’s respective Employment Agreement not in connection with a Change in Control (as each term is defined in the Employment Agreement Amendments), Mr. Giordano, Dr. Rich or Mr. Staab will each be entitled to receive (i) 12 months of base salary, plus an additional month of base salary for each completed year of service with the Company, up to a maximum of 12 additional months, (ii) a pro-rated amount of the annual bonus that he would have received had 100% of goals been achieved for the fiscal year in which such termination occurs, and (iii) 12 months of COBRA reimbursements or benefits payments, as applicable. In addition, Dr. Rich will be entitled to receive accelerated vesting of all outstanding equity-based compensation awards.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Terminations in Connection with a Change in Control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beginning three months prior to and ending 12 months immediately following a Change in Control, in the event Mr. Giordano,</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Dr. Rich or Mr. Staab’s employment is terminated by the Company without Cause, by Mr. Giordano, Dr. Rich or Mr. Staab for Good Reason, or if the Company elects not to renew the executive’s respective Employment Agreement, Mr. Giordano, Dr. Rich or Mr. Staab will be entitled to receive: (i) 12 months of base salary (18 months in the case of Mr. Giordano), (ii) the amount of the annual bonus that he would have received had 100% of goals been achieved for the fiscal year in which such termination occurs, (iii) accelerated vesting of all outstanding equity-based compensation awards, and (iv) 12 months of COBRA reimbursements or benefits payments (18 months in the case of Mr. Giordano), as applicable.</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Employment Agreement Amendments do not purport to be complete and are qualified in their entirety by reference to the full text of such documents, copies of which are filed as Exhibits 10.1, 10.2, and 10.3 to this Current Report on Form 8-K and are incorporated herein by reference.</w:t>
      </w:r>
    </w:p>
    <w:p>
      <w:pPr>
        <w:sectPr>
          <w:pgSz w:w="11900" w:h="16838" w:orient="portrait"/>
          <w:cols w:equalWidth="0" w:num="1">
            <w:col w:w="10960"/>
          </w:cols>
          <w:pgMar w:left="440" w:top="293" w:right="49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Change in Control Plan and Severance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26, 2026, the Board, upon the recommendation of the Compensation Committee, adopted the CIC Plan and Severance Plan.</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CIC Plan provides “double trigger” equity acceleration and cash severance benefits to eligible employees of the Company in connection with a change in control transaction. The CIC Plan provides that benefits are payable only upon a termination by the Company without Cause or by the eligible employee for Good Reason occurring up to three months prior to or within 12 months following a Change in Control (each term as defined in the CIC Plan). Upon a qualifying termination, all outstanding equity awards held by the eligible employee are subject to accelerated vesting. Cash severance benefits upon a qualifying termination are determined based on the employee’s level within the Company.</w:t>
      </w:r>
    </w:p>
    <w:p>
      <w:pPr>
        <w:spacing w:after="0" w:line="18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Severance Plan provides severance benefits to eligible employees of the Company whose employment is terminated by the Company without Cause, independent of any change in control transaction. Cash severance benefits under the Severance Plan are determined based on the employee’s tenure and level within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under each of the CIC Plan and the Severance Plan are conditioned upon the eligible employee’s execution of a release of claims.</w:t>
      </w:r>
    </w:p>
    <w:p>
      <w:pPr>
        <w:spacing w:after="0" w:line="225"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Company’s executive officers are not eligible for benefits under the CIC Plan or Severance Plan. They are covered by individual employment agreements, which were amended to provide severance and other benefits generally based on the CIC Plan and Severance Plan, as described above.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20" w:type="dxa"/>
            <w:vAlign w:val="bottom"/>
            <w:vMerge w:val="restart"/>
          </w:tcPr>
          <w:p>
            <w:pPr>
              <w:ind w:left="4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Amendment No. 1 to Employment Agreement, by and between Tenax Therapeutics, Inc. and Christopher Giordano</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Amendment No. 1 to Employment Agreement, by and between Tenax Therapeutics, Inc. and Thomas Staab</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EE"/>
        </w:rPr>
        <w:t>Amendment No. 3 to Employment Agreement, by and between Tenax Therapeutics, Inc. and Stuart Rich</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3" w:right="47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Christopher Giordano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Date:</w:t>
        <w:tab/>
        <w:t>June 29, 2026</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EXECUTIVE EMPLOYMENT AGREEMENT</w:t>
      </w:r>
    </w:p>
    <w:p>
      <w:pPr>
        <w:spacing w:after="0" w:line="225" w:lineRule="exact"/>
        <w:rPr>
          <w:sz w:val="20"/>
          <w:szCs w:val="20"/>
          <w:color w:val="auto"/>
        </w:rPr>
      </w:pPr>
    </w:p>
    <w:p>
      <w:pPr>
        <w:ind w:right="6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THIS FIRST AMENDMENT TO EXECUTIVE EMPLOYMENT AGREEMENT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is made as of June 29, 2026 by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between Tenax Therapeutics, Inc., a Delaware corporation, with its principal place of business in North Carolina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Christopher Thomas Giordano (the “</w:t>
      </w:r>
      <w:r>
        <w:rPr>
          <w:rFonts w:ascii="Times New Roman" w:cs="Times New Roman" w:eastAsia="Times New Roman" w:hAnsi="Times New Roman"/>
          <w:sz w:val="17"/>
          <w:szCs w:val="17"/>
          <w:b w:val="1"/>
          <w:bCs w:val="1"/>
          <w:color w:val="auto"/>
        </w:rPr>
        <w:t>Executive</w:t>
      </w:r>
      <w:r>
        <w:rPr>
          <w:rFonts w:ascii="Times New Roman" w:cs="Times New Roman" w:eastAsia="Times New Roman" w:hAnsi="Times New Roman"/>
          <w:sz w:val="17"/>
          <w:szCs w:val="17"/>
          <w:color w:val="auto"/>
        </w:rPr>
        <w:t>”). The Company and Executive are sometimes referred to herein each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previously entered into that certain Executive Employment Agreement dated on or about July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whereby the Company employed the Executive as its Chief Executive Officer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wish to amend the Employment Agreement pursuant to this Amendment; and</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expressly intend that this Amendment shall be a writing intended to be an amendment, modification and/or supplement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Employment Agreement.</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of the mutual promises herein, and of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the parties acknowledge, the Company and the Executive agree as follows:</w:t>
      </w:r>
    </w:p>
    <w:p>
      <w:pPr>
        <w:spacing w:after="0" w:line="5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Amended Section 4(b)</w:t>
      </w:r>
      <w:r>
        <w:rPr>
          <w:rFonts w:ascii="Times New Roman" w:cs="Times New Roman" w:eastAsia="Times New Roman" w:hAnsi="Times New Roman"/>
          <w:sz w:val="18"/>
          <w:szCs w:val="18"/>
          <w:color w:val="auto"/>
        </w:rPr>
        <w:t>. The Company and the Executive hereby agree that Section 4(b) of the Employment Agreement is hereby replaced and superseded in its entirety by the following amended Section 4(b):</w:t>
      </w:r>
    </w:p>
    <w:p>
      <w:pPr>
        <w:spacing w:after="0" w:line="54" w:lineRule="exact"/>
        <w:rPr>
          <w:sz w:val="20"/>
          <w:szCs w:val="20"/>
          <w:color w:val="auto"/>
        </w:rPr>
      </w:pPr>
    </w:p>
    <w:p>
      <w:pPr>
        <w:ind w:left="440" w:right="60" w:firstLine="948"/>
        <w:spacing w:after="0" w:line="254" w:lineRule="auto"/>
        <w:tabs>
          <w:tab w:leader="none" w:pos="164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Bonuses</w:t>
      </w:r>
      <w:r>
        <w:rPr>
          <w:rFonts w:ascii="Times New Roman" w:cs="Times New Roman" w:eastAsia="Times New Roman" w:hAnsi="Times New Roman"/>
          <w:sz w:val="18"/>
          <w:szCs w:val="18"/>
          <w:color w:val="auto"/>
        </w:rPr>
        <w:t>. Each fiscal year during the Term, the Executive shall be entitled to an annual bonus the amount of which is based on percentage achievement of annual goals set by the Company, after consultation with the Executive, at the beginning of each fiscal year for such fiscal year (“</w:t>
      </w: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which achievement shall be determined as of the last day of such fiscal year. If the Executive achieves 100% of the annual goals, the Annual Bonus shall be 50% of his Base Salary (“</w:t>
      </w:r>
      <w:r>
        <w:rPr>
          <w:rFonts w:ascii="Times New Roman" w:cs="Times New Roman" w:eastAsia="Times New Roman" w:hAnsi="Times New Roman"/>
          <w:sz w:val="18"/>
          <w:szCs w:val="18"/>
          <w:b w:val="1"/>
          <w:bCs w:val="1"/>
          <w:color w:val="auto"/>
        </w:rPr>
        <w:t>Target Bonus</w:t>
      </w:r>
      <w:r>
        <w:rPr>
          <w:rFonts w:ascii="Times New Roman" w:cs="Times New Roman" w:eastAsia="Times New Roman" w:hAnsi="Times New Roman"/>
          <w:sz w:val="18"/>
          <w:szCs w:val="18"/>
          <w:color w:val="auto"/>
        </w:rPr>
        <w:t>”). There is no cap on the Annual Bonus for exceeding 100% of annual goals; for example, an achievement of 200% of annual goals would result in an Annual Bonus equal to 100% of his Base Salary. The Annual Bonus shall be paid in accordance with the Company’s regular bonus payment procedures, and, in all events, will be paid no later than 60 days following the end of the fiscal year in which the Annual Bonus was earned. Except as otherwise set forth in Section 5(d)(ii)(C) and Section 5(d)(iii)(C), in order to be eligible to receive the Annual Bonus, the Executive must be employed by the Company on the last day of the fiscal year in which the Annual Bonus was earned.</w:t>
      </w:r>
    </w:p>
    <w:p>
      <w:pPr>
        <w:spacing w:after="0" w:line="188" w:lineRule="exact"/>
        <w:rPr>
          <w:rFonts w:ascii="Times New Roman" w:cs="Times New Roman" w:eastAsia="Times New Roman" w:hAnsi="Times New Roman"/>
          <w:sz w:val="18"/>
          <w:szCs w:val="18"/>
          <w:color w:val="auto"/>
        </w:rPr>
      </w:pPr>
    </w:p>
    <w:p>
      <w:pPr>
        <w:ind w:right="140" w:firstLine="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Amended Section 5(d)</w:t>
      </w:r>
      <w:r>
        <w:rPr>
          <w:rFonts w:ascii="Times New Roman" w:cs="Times New Roman" w:eastAsia="Times New Roman" w:hAnsi="Times New Roman"/>
          <w:sz w:val="18"/>
          <w:szCs w:val="18"/>
          <w:color w:val="auto"/>
        </w:rPr>
        <w:t>. The Company and the Executive hereby agree that Section 5(d) of the Employment Agreement is hereby replaced and superseded in its entirety by the following amended Section 5(d):</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upon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1371"/>
        <w:spacing w:after="0" w:line="256" w:lineRule="auto"/>
        <w:tabs>
          <w:tab w:leader="none" w:pos="203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upon the termination of this Agreement and the Executive’s employment with the Company pursuant to the expiration of the Term following the Executive’s notice of non-renewal pursuant to Section 3, by the Executive pursuant to Section 5(b)(i) (Voluntary Resignation), or by the Company pursuant to Section 5(c)(ii) (Death), (iii) (Disability) or (iv) (Cause), the Company shall have no further obligations hereunder other than the payment of all compensation and other benefits payable to the Executive (or his estate or heirs) through the date of such termination in accordance with the Company’s normal payroll cycle and terms of the applicable benefit plans and programs in existence at the time the Executive’s employment is terminated.</w:t>
      </w:r>
    </w:p>
    <w:p>
      <w:pPr>
        <w:sectPr>
          <w:pgSz w:w="11900" w:h="16838" w:orient="portrait"/>
          <w:cols w:equalWidth="0" w:num="1">
            <w:col w:w="11020"/>
          </w:cols>
          <w:pgMar w:left="440" w:top="117" w:right="439" w:bottom="1440" w:gutter="0" w:footer="0" w:header="0"/>
        </w:sectPr>
      </w:pPr>
    </w:p>
    <w:bookmarkStart w:id="5" w:name="page6"/>
    <w:bookmarkEnd w:id="5"/>
    <w:p>
      <w:pPr>
        <w:ind w:left="4" w:firstLine="1371"/>
        <w:spacing w:after="0" w:line="255" w:lineRule="auto"/>
        <w:tabs>
          <w:tab w:leader="none" w:pos="164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termination of this Agreement and the Executive’s employment with the Company by the Company pursuant to Section 5(c)(i) (Without Cause), upon expiration of the Term following the Company’s notice of non-renewal pursuant to Section 3, or by the Executive pursuant to Section 5(b)(ii) (Good Reason), in each case during the period beginning 3 months prior to and ending 12 months following a Change in Control, the Executive shall be entitled to the following, with those benefits described in Sections 5(d)(ii)(B), (C), (D), and</w:t>
      </w:r>
    </w:p>
    <w:p>
      <w:pPr>
        <w:spacing w:after="0" w:line="2" w:lineRule="exact"/>
        <w:rPr>
          <w:rFonts w:ascii="Times New Roman" w:cs="Times New Roman" w:eastAsia="Times New Roman" w:hAnsi="Times New Roman"/>
          <w:sz w:val="18"/>
          <w:szCs w:val="18"/>
          <w:color w:val="auto"/>
        </w:rPr>
      </w:pPr>
    </w:p>
    <w:p>
      <w:pPr>
        <w:ind w:left="4" w:right="40" w:hanging="4"/>
        <w:spacing w:after="0" w:line="260" w:lineRule="auto"/>
        <w:tabs>
          <w:tab w:leader="none" w:pos="2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conditioned upon Executive’s execution and nonrevocation of a valid release under Section 6 and compliance with his obligations under Sections 7, 8, and 9:</w:t>
      </w:r>
    </w:p>
    <w:p>
      <w:pPr>
        <w:spacing w:after="0" w:line="73" w:lineRule="exact"/>
        <w:rPr>
          <w:rFonts w:ascii="Times New Roman" w:cs="Times New Roman" w:eastAsia="Times New Roman" w:hAnsi="Times New Roman"/>
          <w:sz w:val="18"/>
          <w:szCs w:val="18"/>
          <w:color w:val="auto"/>
        </w:rPr>
      </w:pPr>
    </w:p>
    <w:p>
      <w:pPr>
        <w:ind w:left="4" w:right="260" w:firstLine="1900"/>
        <w:spacing w:after="0" w:line="266" w:lineRule="auto"/>
        <w:tabs>
          <w:tab w:leader="none" w:pos="220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compensation and other benefits payable to the Executive through the date of such termination in accordance with the Company’s normal payroll cycle and terms of the applicable benefit plans and programs in existence at the time the Executive’s employment is terminated;</w:t>
      </w:r>
    </w:p>
    <w:p>
      <w:pPr>
        <w:spacing w:after="0" w:line="67" w:lineRule="exact"/>
        <w:rPr>
          <w:rFonts w:ascii="Times New Roman" w:cs="Times New Roman" w:eastAsia="Times New Roman" w:hAnsi="Times New Roman"/>
          <w:sz w:val="18"/>
          <w:szCs w:val="18"/>
          <w:color w:val="auto"/>
        </w:rPr>
      </w:pPr>
    </w:p>
    <w:p>
      <w:pPr>
        <w:ind w:left="4" w:right="20" w:firstLine="1900"/>
        <w:spacing w:after="0" w:line="282" w:lineRule="auto"/>
        <w:tabs>
          <w:tab w:leader="none" w:pos="219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 amount equal to 18 months of his then current Base Salary (less applicable withholdings), payable in a lump sum on the 60th day following the date of the Executive’s separation from service (the “</w:t>
      </w:r>
      <w:r>
        <w:rPr>
          <w:rFonts w:ascii="Times New Roman" w:cs="Times New Roman" w:eastAsia="Times New Roman" w:hAnsi="Times New Roman"/>
          <w:sz w:val="18"/>
          <w:szCs w:val="18"/>
          <w:b w:val="1"/>
          <w:bCs w:val="1"/>
          <w:color w:val="auto"/>
        </w:rPr>
        <w:t>Change in Control Payment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right="40" w:firstLine="1900"/>
        <w:spacing w:after="0" w:line="266" w:lineRule="auto"/>
        <w:tabs>
          <w:tab w:leader="none" w:pos="219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in an amount equal to the Target Bonus for the fiscal year in which such termination occurred, multiplied by a fraction, the numerator of which is 18 and the denominator of which is 12, with such payment to be made on the Change in Control Payment Date;</w:t>
      </w:r>
    </w:p>
    <w:p>
      <w:pPr>
        <w:spacing w:after="0" w:line="67" w:lineRule="exact"/>
        <w:rPr>
          <w:rFonts w:ascii="Times New Roman" w:cs="Times New Roman" w:eastAsia="Times New Roman" w:hAnsi="Times New Roman"/>
          <w:sz w:val="18"/>
          <w:szCs w:val="18"/>
          <w:color w:val="auto"/>
        </w:rPr>
      </w:pPr>
    </w:p>
    <w:p>
      <w:pPr>
        <w:ind w:left="2204" w:hanging="300"/>
        <w:spacing w:after="0"/>
        <w:tabs>
          <w:tab w:leader="none" w:pos="2204"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equity-based compensation awards shall become fully vested and the restrictions thereon shall lapse;</w:t>
      </w:r>
    </w:p>
    <w:p>
      <w:pPr>
        <w:spacing w:after="0" w:line="38"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7"/>
          <w:szCs w:val="17"/>
          <w:color w:val="auto"/>
        </w:rPr>
      </w:pPr>
    </w:p>
    <w:p>
      <w:pPr>
        <w:ind w:left="2184" w:hanging="280"/>
        <w:spacing w:after="0"/>
        <w:tabs>
          <w:tab w:leader="none" w:pos="218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premium payments the Executive makes under the Consolidated Budget Reconciliation Act</w:t>
      </w:r>
    </w:p>
    <w:p>
      <w:pPr>
        <w:spacing w:after="0" w:line="27" w:lineRule="exact"/>
        <w:rPr>
          <w:sz w:val="20"/>
          <w:szCs w:val="20"/>
          <w:color w:val="auto"/>
        </w:rPr>
      </w:pPr>
    </w:p>
    <w:p>
      <w:pPr>
        <w:ind w:left="4" w:right="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to continue the Executive’s and, if applicable, the Executive’s family’s health insurance coverage under the Company’s group health insurance plan for 18 months from the date of termination. Reimbursements for COBRA premium payments shall begin on the Change in Control Payment Date and shall be made as soon as possible following the Executive’s submission to the Company of proof of timely payments, but not later than 30 days after the Executive’s submission of proof of timely payments; provided, however, all such claims for reimbursement shall be submitted by the Executive and paid by the Company no later than 21 months following the termination of the Executive’s employment. Any obligation for the Company to make payments for COBRA reimbursement under this Agreement shall immediately cease when the Executive becomes eligible for health insurance from a subsequent employer, and the Executive shall promptly notify the Company of such subsequent eligibility. If the Executive desires COBRA coverage, the Executive shall bear full responsibility for applying for COBRA coverage and nothing herein shall constitute a guarantee of COBRA benefits. Under no circumstances will the Executive be entitled to a cash payment or other benefit in lieu of reimbursements for the actual costs of premiums for COBRA continuation hereunder. The amount of expenses eligible for reimbursement during any calendar year shall not be affected by the amount of expenses eligible for reimbursement in any other calendar year.</w:t>
      </w:r>
    </w:p>
    <w:p>
      <w:pPr>
        <w:spacing w:after="0" w:line="84" w:lineRule="exact"/>
        <w:rPr>
          <w:sz w:val="20"/>
          <w:szCs w:val="20"/>
          <w:color w:val="auto"/>
        </w:rPr>
      </w:pPr>
    </w:p>
    <w:p>
      <w:pPr>
        <w:ind w:left="4" w:right="100" w:firstLine="1371"/>
        <w:spacing w:after="0" w:line="258" w:lineRule="auto"/>
        <w:tabs>
          <w:tab w:leader="none" w:pos="16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and the Executive’s employment with the Company by the Company pursuant to Section 5(c)(i) (Without Cause), or upon expiration of the Term following the Company’s notice of non-renewal pursuant to Section 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occurs more than 3 months prior to any Change in Control or more than 12 months after any Change in Control, the Executive shall be entitled to the following, with those benefits described in Sections 5(d)(iii)(B), (C), (D), and (E) specifically conditioned upon Executive’s execution and nonrevocation of a valid release under Section 6 and compliance with his obligations under Sections 7, 8, and 9:</w:t>
      </w:r>
    </w:p>
    <w:p>
      <w:pPr>
        <w:spacing w:after="0" w:line="75" w:lineRule="exact"/>
        <w:rPr>
          <w:rFonts w:ascii="Times New Roman" w:cs="Times New Roman" w:eastAsia="Times New Roman" w:hAnsi="Times New Roman"/>
          <w:sz w:val="18"/>
          <w:szCs w:val="18"/>
          <w:color w:val="auto"/>
        </w:rPr>
      </w:pPr>
    </w:p>
    <w:p>
      <w:pPr>
        <w:ind w:left="4" w:right="260" w:firstLine="1900"/>
        <w:spacing w:after="0" w:line="266" w:lineRule="auto"/>
        <w:tabs>
          <w:tab w:leader="none" w:pos="220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compensation and other benefits payable to the Executive through the date of such termination in accordance with the Company’s normal payroll cycle and terms of the applicable benefit plans and programs in existence at the time the Executive’s employment is terminated;</w:t>
      </w:r>
    </w:p>
    <w:p>
      <w:pPr>
        <w:sectPr>
          <w:pgSz w:w="11900" w:h="16838" w:orient="portrait"/>
          <w:cols w:equalWidth="0" w:num="1">
            <w:col w:w="10544"/>
          </w:cols>
          <w:pgMar w:left="876" w:top="270" w:right="479" w:bottom="1440" w:gutter="0" w:footer="0" w:header="0"/>
        </w:sectPr>
      </w:pPr>
    </w:p>
    <w:bookmarkStart w:id="6" w:name="page7"/>
    <w:bookmarkEnd w:id="6"/>
    <w:p>
      <w:pPr>
        <w:ind w:left="-560" w:right="40" w:firstLine="1900"/>
        <w:spacing w:after="0" w:line="282" w:lineRule="auto"/>
        <w:tabs>
          <w:tab w:leader="none" w:pos="16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an amount equal to 12 months of his then current Base Salary (less applicable withholdings), payable in a lump sum on the 60th day following the date of the Executive’s separation from service (the “</w:t>
      </w:r>
      <w:r>
        <w:rPr>
          <w:rFonts w:ascii="Times New Roman" w:cs="Times New Roman" w:eastAsia="Times New Roman" w:hAnsi="Times New Roman"/>
          <w:sz w:val="18"/>
          <w:szCs w:val="18"/>
          <w:b w:val="1"/>
          <w:bCs w:val="1"/>
          <w:color w:val="auto"/>
        </w:rPr>
        <w:t>Severance Payment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560" w:right="80" w:firstLine="1900"/>
        <w:spacing w:after="0" w:line="266" w:lineRule="auto"/>
        <w:tabs>
          <w:tab w:leader="none" w:pos="16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in an amount equal to an additional month of his then current Base Salary for each completed year of service with the Company as of the date of the Executive’s separation from service (less applicable withholdings), up to a maximum of 12 additional months of Base Salary (less applicable withholdings), with such payment to be made on the Severance Payment Date;</w:t>
      </w:r>
    </w:p>
    <w:p>
      <w:pPr>
        <w:spacing w:after="0" w:line="67" w:lineRule="exact"/>
        <w:rPr>
          <w:rFonts w:ascii="Times New Roman" w:cs="Times New Roman" w:eastAsia="Times New Roman" w:hAnsi="Times New Roman"/>
          <w:sz w:val="18"/>
          <w:szCs w:val="18"/>
          <w:color w:val="auto"/>
        </w:rPr>
      </w:pPr>
    </w:p>
    <w:p>
      <w:pPr>
        <w:ind w:left="-560" w:right="40" w:firstLine="1900"/>
        <w:spacing w:after="0" w:line="261" w:lineRule="auto"/>
        <w:tabs>
          <w:tab w:leader="none" w:pos="163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in an amount equal to the Target Bonus for the fiscal year in which such termination occurred, multiplied by a fraction, the numerator of which is the number of days during which the Executive was employed by the Company in the fiscal year of his termination and the denominator of which is 365 (less applicable withholdings), with such payment to be made on the Severance Payment Date; and</w:t>
      </w:r>
    </w:p>
    <w:p>
      <w:pPr>
        <w:spacing w:after="0" w:line="71" w:lineRule="exact"/>
        <w:rPr>
          <w:rFonts w:ascii="Times New Roman" w:cs="Times New Roman" w:eastAsia="Times New Roman" w:hAnsi="Times New Roman"/>
          <w:sz w:val="18"/>
          <w:szCs w:val="18"/>
          <w:color w:val="auto"/>
        </w:rPr>
      </w:pPr>
    </w:p>
    <w:p>
      <w:pPr>
        <w:ind w:left="-560" w:right="40" w:firstLine="1900"/>
        <w:spacing w:after="0" w:line="253" w:lineRule="auto"/>
        <w:tabs>
          <w:tab w:leader="none" w:pos="16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premium payments the Executive makes under COBRA to continue the Executive’s and, if applicable, the Executive’s family’s health insurance coverage under the Company’s group health insurance plan for 12 months from the date of termination. Reimbursements for COBRA premium payments shall begin on the Severance Payment Date and shall be made as soon as possible following the Executive’s submission to the Company of proof of timely payments, but not later than 30 days after the Executive’s submission of proof of timely payments; provided, however, all such claims for reimbursement shall be submitted by the Executive and paid by the Company no later than 15 months following the termination of the Executive’s employment. Any obligation for the Company to make payments for COBRA reimbursement under this Agreement shall immediately cease when the Executive becomes eligible for health insurance from a subsequent employer, and the Executive shall promptly notify the Company of such subsequent eligibility. If the Executive desires COBRA coverage, the Executive shall bear full responsibility for applying for COBRA coverage and nothing herein shall constitute a guarantee of COBRA benefits. Under no circumstances will the Executive be entitled to a cash payment or other benefit in lieu of reimbursements for the actual costs of premiums for COBRA continuation hereunder. The amount of expenses eligible for reimbursement during any calendar year shall not be affected by the amount of expenses eligible for reimbursement in any other calendar year.</w:t>
      </w:r>
    </w:p>
    <w:p>
      <w:pPr>
        <w:spacing w:after="0" w:line="81" w:lineRule="exact"/>
        <w:rPr>
          <w:rFonts w:ascii="Times New Roman" w:cs="Times New Roman" w:eastAsia="Times New Roman" w:hAnsi="Times New Roman"/>
          <w:sz w:val="18"/>
          <w:szCs w:val="18"/>
          <w:color w:val="auto"/>
        </w:rPr>
      </w:pPr>
    </w:p>
    <w:p>
      <w:pPr>
        <w:ind w:left="1120" w:hanging="309"/>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 Change in Control shall be deemed to have occurred:</w:t>
      </w:r>
    </w:p>
    <w:p>
      <w:pPr>
        <w:spacing w:after="0" w:line="117" w:lineRule="exact"/>
        <w:rPr>
          <w:rFonts w:ascii="Times New Roman" w:cs="Times New Roman" w:eastAsia="Times New Roman" w:hAnsi="Times New Roman"/>
          <w:sz w:val="18"/>
          <w:szCs w:val="18"/>
          <w:color w:val="auto"/>
        </w:rPr>
      </w:pPr>
    </w:p>
    <w:p>
      <w:pPr>
        <w:ind w:left="-560" w:firstLine="1900"/>
        <w:spacing w:after="0" w:line="256" w:lineRule="auto"/>
        <w:tabs>
          <w:tab w:leader="none" w:pos="163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(as such term is used in sections 13(d) and 14(d) of the Securities Exchange Act of 1934) becomes a “beneficial owner” (as defined in Rule 13d-3 under the Securities Exchange Act of 1934), directly or indirectly, of securities of the Company representing more than 50% of the voting power of the then outstanding securities of the Company; provided that a Change in Control shall not be deemed to occur as a result of a transaction in which the Company becomes a subsidiary of another corporation and in which the shareholders of the Company, immediately prior to the transaction, will beneficially own, immediately after the transaction, shares entitling such shareholders to more than 50% of all votes to which all shareholders of the parent corporation would be entitled in the election of directors;</w:t>
      </w:r>
    </w:p>
    <w:p>
      <w:pPr>
        <w:spacing w:after="0" w:line="79" w:lineRule="exact"/>
        <w:rPr>
          <w:rFonts w:ascii="Times New Roman" w:cs="Times New Roman" w:eastAsia="Times New Roman" w:hAnsi="Times New Roman"/>
          <w:sz w:val="18"/>
          <w:szCs w:val="18"/>
          <w:color w:val="auto"/>
        </w:rPr>
      </w:pPr>
    </w:p>
    <w:p>
      <w:pPr>
        <w:ind w:left="-560" w:right="80" w:firstLine="1900"/>
        <w:spacing w:after="0" w:line="256" w:lineRule="auto"/>
        <w:tabs>
          <w:tab w:leader="none" w:pos="16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24 consecutive months or less such that a majority of the Board ceases to be comprised of individuals who either (i) have been Board members continuously since the beginning of such period (“</w:t>
      </w:r>
      <w:r>
        <w:rPr>
          <w:rFonts w:ascii="Times New Roman" w:cs="Times New Roman" w:eastAsia="Times New Roman" w:hAnsi="Times New Roman"/>
          <w:sz w:val="18"/>
          <w:szCs w:val="18"/>
          <w:b w:val="1"/>
          <w:bCs w:val="1"/>
          <w:color w:val="auto"/>
        </w:rPr>
        <w:t>Incumbent Directors</w:t>
      </w:r>
      <w:r>
        <w:rPr>
          <w:rFonts w:ascii="Times New Roman" w:cs="Times New Roman" w:eastAsia="Times New Roman" w:hAnsi="Times New Roman"/>
          <w:sz w:val="18"/>
          <w:szCs w:val="18"/>
          <w:color w:val="auto"/>
        </w:rPr>
        <w:t>”) or (ii) have been elected or nominated for election as Board members during such period by at least a majority of the Incumbent Directors who were still in office at the time the Board approved such election or nomination; provided that any individual who becomes a Board member subsequent to the beginning of such period and whose election or nomination was approved by two-thirds of the Board members then comprising the Incumbent Directors will be considered an Incumbent Director; or</w:t>
      </w:r>
    </w:p>
    <w:p>
      <w:pPr>
        <w:sectPr>
          <w:pgSz w:w="11900" w:h="16838" w:orient="portrait"/>
          <w:cols w:equalWidth="0" w:num="1">
            <w:col w:w="10000"/>
          </w:cols>
          <w:pgMar w:left="1440" w:top="270" w:right="459" w:bottom="1440" w:gutter="0" w:footer="0" w:header="0"/>
        </w:sectPr>
      </w:pPr>
    </w:p>
    <w:bookmarkStart w:id="7" w:name="page8"/>
    <w:bookmarkEnd w:id="7"/>
    <w:p>
      <w:pPr>
        <w:jc w:val="both"/>
        <w:ind w:left="4" w:right="240" w:firstLine="1900"/>
        <w:spacing w:after="0" w:line="261" w:lineRule="auto"/>
        <w:tabs>
          <w:tab w:leader="none" w:pos="21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consummation of (i) a merger or consolidation of the Company with another corporation where the shareholders of the Company, immediately prior to the merger or consolidation, will not beneficially own, immediately after the merger or consolidation, shares entitling such shareholders to more than 50% of all votes to which all shareholders of the surviving corporation would be entitled in the election of directors, ord (ii) a sale or other disposition of all or substantially all of the assets of the Company.</w:t>
      </w:r>
    </w:p>
    <w:p>
      <w:pPr>
        <w:spacing w:after="0" w:line="71" w:lineRule="exact"/>
        <w:rPr>
          <w:rFonts w:ascii="Times New Roman" w:cs="Times New Roman" w:eastAsia="Times New Roman" w:hAnsi="Times New Roman"/>
          <w:sz w:val="18"/>
          <w:szCs w:val="18"/>
          <w:color w:val="auto"/>
        </w:rPr>
      </w:pPr>
    </w:p>
    <w:p>
      <w:pPr>
        <w:ind w:left="1624" w:hanging="249"/>
        <w:spacing w:after="0"/>
        <w:tabs>
          <w:tab w:leader="none" w:pos="16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no situation will Executive be entitled to benefits under both Section 5(d)(ii) and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5(d)(iii).</w:t>
      </w:r>
    </w:p>
    <w:p>
      <w:pPr>
        <w:spacing w:after="0" w:line="99" w:lineRule="exact"/>
        <w:rPr>
          <w:sz w:val="20"/>
          <w:szCs w:val="20"/>
          <w:color w:val="auto"/>
        </w:rPr>
      </w:pPr>
    </w:p>
    <w:p>
      <w:pPr>
        <w:ind w:left="4" w:firstLine="1371"/>
        <w:spacing w:after="0" w:line="282" w:lineRule="auto"/>
        <w:tabs>
          <w:tab w:leader="none" w:pos="16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above or as otherwise required by law, the Company will have no obligations to Executive in the event of the termination of this Agreement for any reason.</w:t>
      </w:r>
    </w:p>
    <w:p>
      <w:pPr>
        <w:spacing w:after="0" w:line="53" w:lineRule="exact"/>
        <w:rPr>
          <w:rFonts w:ascii="Times New Roman" w:cs="Times New Roman" w:eastAsia="Times New Roman" w:hAnsi="Times New Roman"/>
          <w:sz w:val="18"/>
          <w:szCs w:val="18"/>
          <w:color w:val="auto"/>
        </w:rPr>
      </w:pPr>
    </w:p>
    <w:p>
      <w:pPr>
        <w:ind w:left="4" w:firstLine="1371"/>
        <w:spacing w:after="0" w:line="253" w:lineRule="auto"/>
        <w:tabs>
          <w:tab w:leader="none" w:pos="17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if any payment or benefit provided or to be provided by the Company pursuant to the terms of this Agreement (“</w:t>
      </w:r>
      <w:r>
        <w:rPr>
          <w:rFonts w:ascii="Times New Roman" w:cs="Times New Roman" w:eastAsia="Times New Roman" w:hAnsi="Times New Roman"/>
          <w:sz w:val="18"/>
          <w:szCs w:val="18"/>
          <w:b w:val="1"/>
          <w:bCs w:val="1"/>
          <w:color w:val="auto"/>
        </w:rPr>
        <w:t>Covered Payments</w:t>
      </w:r>
      <w:r>
        <w:rPr>
          <w:rFonts w:ascii="Times New Roman" w:cs="Times New Roman" w:eastAsia="Times New Roman" w:hAnsi="Times New Roman"/>
          <w:sz w:val="18"/>
          <w:szCs w:val="18"/>
          <w:color w:val="auto"/>
        </w:rPr>
        <w:t>”) constitute parachute payments (“</w:t>
      </w:r>
      <w:r>
        <w:rPr>
          <w:rFonts w:ascii="Times New Roman" w:cs="Times New Roman" w:eastAsia="Times New Roman" w:hAnsi="Times New Roman"/>
          <w:sz w:val="18"/>
          <w:szCs w:val="18"/>
          <w:b w:val="1"/>
          <w:bCs w:val="1"/>
          <w:color w:val="auto"/>
        </w:rPr>
        <w:t>Parachute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within the meaning of the Section 280G of the Code (as defined below), the Treasury Regulations and other guidance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by the United States Department of the Treasury, and all state laws of similar effect (collectively, “</w:t>
      </w:r>
      <w:r>
        <w:rPr>
          <w:rFonts w:ascii="Times New Roman" w:cs="Times New Roman" w:eastAsia="Times New Roman" w:hAnsi="Times New Roman"/>
          <w:sz w:val="18"/>
          <w:szCs w:val="18"/>
          <w:b w:val="1"/>
          <w:bCs w:val="1"/>
          <w:color w:val="auto"/>
        </w:rPr>
        <w:t>Section 280G</w:t>
      </w:r>
      <w:r>
        <w:rPr>
          <w:rFonts w:ascii="Times New Roman" w:cs="Times New Roman" w:eastAsia="Times New Roman" w:hAnsi="Times New Roman"/>
          <w:sz w:val="18"/>
          <w:szCs w:val="18"/>
          <w:color w:val="auto"/>
        </w:rPr>
        <w:t>”) and would, but for this section of the Agreement be subject to the excise tax imposed under Section 4999 of the Code (or any successor provision thereto) or any similar tax imposed by state or local law or any interest or penalties with respect to such taxes (collectively,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then prior to making the Covered Payments, a calculation shall be made comparing (i) the Net Benefit (as defined below) of the Covered Payments after payment of the Excise Tax to (ii) the Net Benefit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Times New Roman" w:cs="Times New Roman" w:eastAsia="Times New Roman" w:hAnsi="Times New Roman"/>
          <w:sz w:val="18"/>
          <w:szCs w:val="18"/>
          <w:b w:val="1"/>
          <w:bCs w:val="1"/>
          <w:color w:val="auto"/>
        </w:rPr>
        <w:t>Reduced Amount</w:t>
      </w:r>
      <w:r>
        <w:rPr>
          <w:rFonts w:ascii="Times New Roman" w:cs="Times New Roman" w:eastAsia="Times New Roman" w:hAnsi="Times New Roman"/>
          <w:sz w:val="18"/>
          <w:szCs w:val="18"/>
          <w:color w:val="auto"/>
        </w:rPr>
        <w:t>”). For this purpose, “</w:t>
      </w:r>
      <w:r>
        <w:rPr>
          <w:rFonts w:ascii="Times New Roman" w:cs="Times New Roman" w:eastAsia="Times New Roman" w:hAnsi="Times New Roman"/>
          <w:sz w:val="18"/>
          <w:szCs w:val="18"/>
          <w:b w:val="1"/>
          <w:bCs w:val="1"/>
          <w:color w:val="auto"/>
        </w:rPr>
        <w:t>Net Benefit</w:t>
      </w:r>
      <w:r>
        <w:rPr>
          <w:rFonts w:ascii="Times New Roman" w:cs="Times New Roman" w:eastAsia="Times New Roman" w:hAnsi="Times New Roman"/>
          <w:sz w:val="18"/>
          <w:szCs w:val="18"/>
          <w:color w:val="auto"/>
        </w:rPr>
        <w:t>” shall mean the present value of the Covered Payments net of all federal, state, local, foreign income, employment and excise taxes. Any such reduction shall be made in accordance with Section 409A (as defined below).</w:t>
      </w:r>
    </w:p>
    <w:p>
      <w:pPr>
        <w:spacing w:after="0" w:line="82" w:lineRule="exact"/>
        <w:rPr>
          <w:sz w:val="20"/>
          <w:szCs w:val="20"/>
          <w:color w:val="auto"/>
        </w:rPr>
      </w:pPr>
    </w:p>
    <w:p>
      <w:pPr>
        <w:ind w:left="4" w:right="280" w:firstLine="1375"/>
        <w:spacing w:after="0" w:line="255" w:lineRule="auto"/>
        <w:rPr>
          <w:sz w:val="20"/>
          <w:szCs w:val="20"/>
          <w:color w:val="auto"/>
        </w:rPr>
      </w:pPr>
      <w:r>
        <w:rPr>
          <w:rFonts w:ascii="Times New Roman" w:cs="Times New Roman" w:eastAsia="Times New Roman" w:hAnsi="Times New Roman"/>
          <w:sz w:val="18"/>
          <w:szCs w:val="18"/>
          <w:color w:val="auto"/>
        </w:rPr>
        <w:t>Any determination required under this section shall be made in writing in good faith by the accounting firm that was the Company’s independent auditor immediately before the change in control (the “</w:t>
      </w:r>
      <w:r>
        <w:rPr>
          <w:rFonts w:ascii="Times New Roman" w:cs="Times New Roman" w:eastAsia="Times New Roman" w:hAnsi="Times New Roman"/>
          <w:sz w:val="18"/>
          <w:szCs w:val="18"/>
          <w:b w:val="1"/>
          <w:bCs w:val="1"/>
          <w:color w:val="auto"/>
        </w:rPr>
        <w:t>Accountants</w:t>
      </w:r>
      <w:r>
        <w:rPr>
          <w:rFonts w:ascii="Times New Roman" w:cs="Times New Roman" w:eastAsia="Times New Roman" w:hAnsi="Times New Roman"/>
          <w:sz w:val="18"/>
          <w:szCs w:val="18"/>
          <w:color w:val="auto"/>
        </w:rPr>
        <w:t>”) which shall provide detailed supporting calculations to the Company and Executive upon reasonable request. The Company and Executive shall provide the Accountants with such information and documents as the Accountants may reasonably request in order to make a determination under this section. For purposes of making the calculations and determinations required by this section, the Accountants may rely on reasonable, good faith assumptions and approximations concerning the application of Section 280G and Section 4999 of the Code. The Accountants’ determinations shall be final and binding on all interested parties.</w:t>
      </w:r>
    </w:p>
    <w:p>
      <w:pPr>
        <w:spacing w:after="0" w:line="189" w:lineRule="exact"/>
        <w:rPr>
          <w:sz w:val="20"/>
          <w:szCs w:val="20"/>
          <w:color w:val="auto"/>
        </w:rPr>
      </w:pPr>
    </w:p>
    <w:p>
      <w:pPr>
        <w:ind w:left="-436" w:right="440" w:firstLine="436"/>
        <w:spacing w:after="0" w:line="282" w:lineRule="auto"/>
        <w:tabs>
          <w:tab w:leader="none" w:pos="2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Amended Section 6</w:t>
      </w:r>
      <w:r>
        <w:rPr>
          <w:rFonts w:ascii="Times New Roman" w:cs="Times New Roman" w:eastAsia="Times New Roman" w:hAnsi="Times New Roman"/>
          <w:sz w:val="18"/>
          <w:szCs w:val="18"/>
          <w:color w:val="auto"/>
        </w:rPr>
        <w:t>. The Company and the Executive hereby agree that Section 6 of the Employment Agreement is hereby replaced and superseded in its entirety by the following amended Section 6:</w:t>
      </w:r>
    </w:p>
    <w:p>
      <w:pPr>
        <w:spacing w:after="0" w:line="53"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Notwithstanding any provision of this Agreement to the contrary (other than the last sentence of this Section 6), the Company’s obligation to provide the payments and benefits under Section 5(d)(ii)(B), (C), (D), and (E) and 5(d)(iii)(B), (C), (D), and (E) of this Agreement is conditioned upon the Executive’s timely execution and non-revocation of an enforceable release of claims and his compliance with his obligations under Section 7 of this Agreement. If the Executive chooses not to execute such a release, timely revokes his execution of the release, or fails to comply with his obligations under Section 7 of this Agreement, then the Company’s obligation to compensate him ceases upon the termination of his employment except as to amounts due at the time pursuant to Section 5(d)(ii)(A) and Section 5(d)(iii)(A). The Company shall provide the release of claims to the Executive within 7 days of his separation from service, and the Executive must execute it within the time period specified in the release (which shall not be longer than 45 days from the date of receipt). Such release shall not be effective until any applicable revocation period has expired.</w:t>
      </w:r>
    </w:p>
    <w:p>
      <w:pPr>
        <w:sectPr>
          <w:pgSz w:w="11900" w:h="16838" w:orient="portrait"/>
          <w:cols w:equalWidth="0" w:num="1">
            <w:col w:w="10524"/>
          </w:cols>
          <w:pgMar w:left="876" w:top="270" w:right="499" w:bottom="1440" w:gutter="0" w:footer="0" w:header="0"/>
        </w:sectPr>
      </w:pPr>
    </w:p>
    <w:bookmarkStart w:id="8" w:name="page9"/>
    <w:bookmarkEnd w:id="8"/>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IV. </w:t>
      </w:r>
      <w:r>
        <w:rPr>
          <w:rFonts w:ascii="Times New Roman" w:cs="Times New Roman" w:eastAsia="Times New Roman" w:hAnsi="Times New Roman"/>
          <w:sz w:val="18"/>
          <w:szCs w:val="18"/>
          <w:u w:val="single" w:color="auto"/>
          <w:color w:val="auto"/>
        </w:rPr>
        <w:t>Voluntary Acceptance; No Breach; No Good Reason</w:t>
      </w:r>
      <w:r>
        <w:rPr>
          <w:rFonts w:ascii="Times New Roman" w:cs="Times New Roman" w:eastAsia="Times New Roman" w:hAnsi="Times New Roman"/>
          <w:sz w:val="18"/>
          <w:szCs w:val="18"/>
          <w:color w:val="auto"/>
        </w:rPr>
        <w:t>. The Executive hereby consents to this Amendment, and acknowledges and agrees that his consent to and acceptance of this Amendment is both knowing and voluntary. The Executive further acknowledges and agrees that this Amendment will not constitute or create a breach of any material provision of the Employment Agreement or any grounds for the Executive to terminate his employment with the Company for “Good Reason” in accordance with Subsection 5(b)(ii) of the Employment Agreement.</w:t>
      </w:r>
    </w:p>
    <w:p>
      <w:pPr>
        <w:spacing w:after="0" w:line="180"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Remainder of Employment Agreement</w:t>
      </w:r>
      <w:r>
        <w:rPr>
          <w:rFonts w:ascii="Times New Roman" w:cs="Times New Roman" w:eastAsia="Times New Roman" w:hAnsi="Times New Roman"/>
          <w:sz w:val="18"/>
          <w:szCs w:val="18"/>
          <w:color w:val="auto"/>
        </w:rPr>
        <w:t>. Except as expressly amended by this Amendment, the remaining provisions of the Employment Agreement shall remain in full force and effect, in their entirety, in accordance with their terms.</w:t>
      </w:r>
    </w:p>
    <w:p>
      <w:pPr>
        <w:spacing w:after="0" w:line="16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Except as modified and amended by this Amendment, capitalized terms in this Amendment shall have the meanings as defined by the Employment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As amended by this Amendment, the Employment Agreement is the final, complete and exclusive agreement of the Parties with respect to the subject matter thereof and supersedes and merges all prior discussions and agreements (whether written or oral and whether express or implied) between the Parties to the extent related to such subject matter.</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will be deemed an original but all of which together will constitute one and the same agreement. Facsimile or PDF reproductions of original signatures will be deemed binding for the purpose of the execution of this Amendment.</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No amendment of any provision of this Amendment will be valid unless the amendment is in writing and signed by the Company and the Executive. No waiver of any provision of this Amendment will be valid unless the waiver is in writing and signed by the waiving Party. The failure of a Party at any time to require performance of any provision of this Amendment will not affect such Party’s rights at a later time to enforce such provision. No waiver by a Party of any breach of this Amendment will be deemed to extend to any other breach hereunder or affect in any way any rights arising by virtue of any other breach.</w:t>
      </w:r>
    </w:p>
    <w:p>
      <w:pPr>
        <w:spacing w:after="0" w:line="183"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provision of this Amendment is severable from every other provision of this Amendment. Any provision of this Amendment that is determined by any court of competent jurisdiction to be invalid or unenforceable will not affect the validity or enforceability of any other provision. Any provision of this Amendment held invalid or unenforceable only in part or degree will remain in full force and effect to the extent not held invalid or unenforceable.</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section headings in this Amendment are inserted for convenience only and are not intended to affect the interpretation of this Amendment. The word “including” in this Amendment means “including without limitation.” This Amendment will be construed as if drafted jointly by the Company and the Executive and no presumption or burden of proof will arise favoring or disfavoring the Company or the Executive by virtue of the authorship of any provision in this Amendment. All words in this Amendment will be construed to be of such gender or number as the circumstances require.</w:t>
      </w:r>
    </w:p>
    <w:p>
      <w:pPr>
        <w:spacing w:after="0" w:line="183"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The rights and remedies of the Parties under the Employment Agreement as amended by this Amendment are cumulative (not alternative) and in addition to all other rights and remedies available to such Parties at law, in equity, by contract or otherwise.</w:t>
      </w:r>
    </w:p>
    <w:p>
      <w:pPr>
        <w:spacing w:after="0" w:line="162" w:lineRule="exact"/>
        <w:rPr>
          <w:sz w:val="20"/>
          <w:szCs w:val="20"/>
          <w:color w:val="auto"/>
        </w:rPr>
      </w:pPr>
    </w:p>
    <w:p>
      <w:pPr>
        <w:jc w:val="both"/>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Choice of Law/Choice of Venue/Effect/Assignment.</w:t>
      </w:r>
      <w:r>
        <w:rPr>
          <w:rFonts w:ascii="Times New Roman" w:cs="Times New Roman" w:eastAsia="Times New Roman" w:hAnsi="Times New Roman"/>
          <w:sz w:val="18"/>
          <w:szCs w:val="18"/>
          <w:color w:val="auto"/>
        </w:rPr>
        <w:t xml:space="preserve"> This Amendment shall be interpreted and governed under the laws of the State of North Carolina, without regard to its choice of law rules, and shall be binding on and inure to the respective benefit of the Company and its successors and assigns and the Executive and his personal representatives. The exclusive jurisdiction for any dispute arising under or relating to this Amendment shall be the state or federal courts sitting in Wake County, North Carolina, and each party hereby irrevocably consents to the</w:t>
      </w:r>
    </w:p>
    <w:p>
      <w:pPr>
        <w:sectPr>
          <w:pgSz w:w="11900" w:h="16838" w:orient="portrait"/>
          <w:cols w:equalWidth="0" w:num="1">
            <w:col w:w="11000"/>
          </w:cols>
          <w:pgMar w:left="440" w:top="270" w:right="459" w:bottom="1440" w:gutter="0" w:footer="0" w:header="0"/>
        </w:sectPr>
      </w:pPr>
    </w:p>
    <w:bookmarkStart w:id="9" w:name="page10"/>
    <w:bookmarkEnd w:id="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personal jurisdiction of such courts. The Company shall require any successor (whether direct or indirect, by purchase, merger, consolidation, reorganization or otherwise) to all or substantially all of the business or assets of the Company, within 15 days of such succession, expressly to assume and agree to perform this Amendment in the same manner and to the same extent as the Company would be required to perform if no such succession had taken place. The Executive may not assign this Amendment or delegate his obligations hereunder. As used in this Amendment, “Company” shall mean the Company and any such successor which assumes and agrees to perform the duties and obligations of the Company under this Amendment by operation of law or otherwise.</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 Immediately Follows]</w:t>
      </w:r>
    </w:p>
    <w:p>
      <w:pPr>
        <w:sectPr>
          <w:pgSz w:w="11900" w:h="16838" w:orient="portrait"/>
          <w:cols w:equalWidth="0" w:num="1">
            <w:col w:w="10880"/>
          </w:cols>
          <w:pgMar w:left="440" w:top="270" w:right="579" w:bottom="1440" w:gutter="0" w:footer="0" w:header="0"/>
        </w:sectPr>
      </w:pPr>
    </w:p>
    <w:bookmarkStart w:id="10" w:name="page11"/>
    <w:bookmarkEnd w:id="10"/>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Amendment to Executive Employment Agreement as of the day and year first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R. Staab, II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R. Staab, II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T. Giordano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to Amendment to Executive Employment Agreement]</w:t>
      </w:r>
    </w:p>
    <w:p>
      <w:pPr>
        <w:sectPr>
          <w:pgSz w:w="11900" w:h="16838" w:orient="portrait"/>
          <w:cols w:equalWidth="0" w:num="1">
            <w:col w:w="10820"/>
          </w:cols>
          <w:pgMar w:left="440" w:top="266" w:right="6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EXECUTIVE EMPLOYMENT AGREEMENT</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FIRST AMENDMENT TO EXECUTIVE EMPLOYMENT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made as of June 29, 2026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Tenax Therapeutics, Inc., a Delaware corporation, with its principal place of business in North Carolina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Thomas R. Staab, II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The Company and Executive are sometimes referred to herein each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previously entered into that certain Executive Employment Agreement dated on or about April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whereby the Company employed the Executive as its Chief Financial Officer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wish to amend the Employment Agreement pursuant to this Amendment; and</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expressly intend that this Amendment shall be a writing intended to be an amendment, modification and/or supplement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Employment Agreement.</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of the mutual promises herein, and of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the parties acknowledge, the Company and the Executive agree as follows:</w:t>
      </w:r>
    </w:p>
    <w:p>
      <w:pPr>
        <w:spacing w:after="0" w:line="5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Amended Section 6</w:t>
      </w:r>
      <w:r>
        <w:rPr>
          <w:rFonts w:ascii="Times New Roman" w:cs="Times New Roman" w:eastAsia="Times New Roman" w:hAnsi="Times New Roman"/>
          <w:sz w:val="18"/>
          <w:szCs w:val="18"/>
          <w:color w:val="auto"/>
        </w:rPr>
        <w:t>. The Company and the Executive hereby agree that Section 6 of the Employment Agreement is hereby replaced and superseded in its entirety by the following amended Section 6:</w:t>
      </w:r>
    </w:p>
    <w:p>
      <w:pPr>
        <w:spacing w:after="0" w:line="158" w:lineRule="exact"/>
        <w:rPr>
          <w:sz w:val="20"/>
          <w:szCs w:val="20"/>
          <w:color w:val="auto"/>
        </w:rPr>
      </w:pPr>
    </w:p>
    <w:p>
      <w:pPr>
        <w:ind w:left="1160" w:hanging="173"/>
        <w:spacing w:after="0"/>
        <w:tabs>
          <w:tab w:leader="none" w:pos="11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Obligations upon Termination</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440" w:right="140" w:firstLine="1371"/>
        <w:spacing w:after="0" w:line="262" w:lineRule="auto"/>
        <w:tabs>
          <w:tab w:leader="none" w:pos="2069"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Generally</w:t>
      </w:r>
      <w:r>
        <w:rPr>
          <w:rFonts w:ascii="Times New Roman" w:cs="Times New Roman" w:eastAsia="Times New Roman" w:hAnsi="Times New Roman"/>
          <w:sz w:val="18"/>
          <w:szCs w:val="18"/>
          <w:color w:val="auto"/>
        </w:rPr>
        <w:t>. Upon the termination of this Agreement and the Executive’s employment with the Company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(or Executive’s estate or heirs, if applicable), will be entitled to payment of all compensation and other benefits payable to the Executive (or Executive’s estate or heirs) through the date of such termination in accordance with the Company’s normal payroll cycle and terms of the applicable benefit plans and programs in existence at the time the Executive’s employment is terminated.</w:t>
      </w:r>
    </w:p>
    <w:p>
      <w:pPr>
        <w:spacing w:after="0" w:line="68" w:lineRule="exact"/>
        <w:rPr>
          <w:rFonts w:ascii="Times New Roman" w:cs="Times New Roman" w:eastAsia="Times New Roman" w:hAnsi="Times New Roman"/>
          <w:sz w:val="18"/>
          <w:szCs w:val="18"/>
          <w:b w:val="1"/>
          <w:bCs w:val="1"/>
          <w:color w:val="auto"/>
        </w:rPr>
      </w:pPr>
    </w:p>
    <w:p>
      <w:pPr>
        <w:ind w:left="440" w:right="20" w:firstLine="1371"/>
        <w:spacing w:after="0" w:line="256" w:lineRule="auto"/>
        <w:tabs>
          <w:tab w:leader="none" w:pos="208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Separation Benefits Upon Certain Terminations in Connection with a Change in Control. </w:t>
      </w:r>
      <w:r>
        <w:rPr>
          <w:rFonts w:ascii="Times New Roman" w:cs="Times New Roman" w:eastAsia="Times New Roman" w:hAnsi="Times New Roman"/>
          <w:sz w:val="18"/>
          <w:szCs w:val="18"/>
          <w:color w:val="auto"/>
        </w:rPr>
        <w:t>Upon termination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Executive’s employment with the Company by the Company pursuant to Section 5(c)(i), upon expiration of the Term following the Company’s notice of non-renewal pursuant to Section 3, or by the Executive pursuant to Section 5(b)(ii), in each case during the period beginning 3 months prior to and ending 12 months following a Change in Control, then in addition to the amounts described in Section 6(a) above, the Executive shall be entitled to the following, with those benefits described in Sections 6(b)(i), (ii), (iii), and (iv) specifically conditioned upon Executive’s execution and nonrevocation of a valid release as described in Section 6(d) and compliance with Executive’s obligations under Sections 7, 8, and 9:</w:t>
      </w:r>
    </w:p>
    <w:p>
      <w:pPr>
        <w:spacing w:after="0" w:line="78" w:lineRule="exact"/>
        <w:rPr>
          <w:rFonts w:ascii="Times New Roman" w:cs="Times New Roman" w:eastAsia="Times New Roman" w:hAnsi="Times New Roman"/>
          <w:sz w:val="18"/>
          <w:szCs w:val="18"/>
          <w:b w:val="1"/>
          <w:bCs w:val="1"/>
          <w:color w:val="auto"/>
        </w:rPr>
      </w:pPr>
    </w:p>
    <w:p>
      <w:pPr>
        <w:ind w:left="440" w:right="20" w:firstLine="1900"/>
        <w:spacing w:after="0" w:line="282" w:lineRule="auto"/>
        <w:tabs>
          <w:tab w:leader="none" w:pos="255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 amount equal to 12 months of his then current Base Salary (less applicable withholdings), payable in a lump sum on the 60th day following the date of the Executive’s separation from service (the “</w:t>
      </w:r>
      <w:r>
        <w:rPr>
          <w:rFonts w:ascii="Times New Roman" w:cs="Times New Roman" w:eastAsia="Times New Roman" w:hAnsi="Times New Roman"/>
          <w:sz w:val="18"/>
          <w:szCs w:val="18"/>
          <w:u w:val="single" w:color="auto"/>
          <w:color w:val="auto"/>
        </w:rPr>
        <w:t>Change in Control Payment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100" w:firstLine="1900"/>
        <w:spacing w:after="0" w:line="282" w:lineRule="auto"/>
        <w:tabs>
          <w:tab w:leader="none" w:pos="260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in an amount equal to the Target Bonus for the fiscal year in which such termination occurred, with such payment to be made on the Change in Control Payment Date;</w:t>
      </w:r>
    </w:p>
    <w:p>
      <w:pPr>
        <w:spacing w:after="0" w:line="53" w:lineRule="exact"/>
        <w:rPr>
          <w:rFonts w:ascii="Times New Roman" w:cs="Times New Roman" w:eastAsia="Times New Roman" w:hAnsi="Times New Roman"/>
          <w:sz w:val="18"/>
          <w:szCs w:val="18"/>
          <w:color w:val="auto"/>
        </w:rPr>
      </w:pPr>
    </w:p>
    <w:p>
      <w:pPr>
        <w:ind w:left="2660" w:hanging="320"/>
        <w:spacing w:after="0"/>
        <w:tabs>
          <w:tab w:leader="none" w:pos="26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shall become fully vested and the restrictions thereon shall lapse;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ectPr>
          <w:pgSz w:w="11900" w:h="16838" w:orient="portrait"/>
          <w:cols w:equalWidth="0" w:num="1">
            <w:col w:w="11020"/>
          </w:cols>
          <w:pgMar w:left="440" w:top="117" w:right="439" w:bottom="1440" w:gutter="0" w:footer="0" w:header="0"/>
        </w:sectPr>
      </w:pPr>
    </w:p>
    <w:bookmarkStart w:id="12" w:name="page13"/>
    <w:bookmarkEnd w:id="12"/>
    <w:p>
      <w:pPr>
        <w:ind w:left="19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 reimbursement for premium payments the Executive makes under the Consolidated Budget Reconciliation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to continue the Executive’s and, if applicable, the Executive’s family’s health insurance coverage under the Company’s group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plan for 12 months from the date of termination. Reimbursements for COBRA premium payments shall begin on the Change in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Date and shall be made as soon as possible following the Executive’s submission to the Company of proof of timely payments, but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than 30 days after the Executive’s submission of proof of timely payments; provided, however, all such claims for reimbursement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Executive and paid by the Company no later than 15 months following the termination of the Executive’s employment.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for the Company to make payments for COBRA reimbursement under this Agreement shall immediately cease when the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becomes eligible for health insurance from a subsequent employer, and the Executive shall promptly notify the Company of such subsequent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eligibility. If the Executive desires COBRA coverage, the Executive shall bear full responsibility for applying for COBRA coverage and nothing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shall constitute a guarantee of COBRA benefits. Under no circumstances will the Executive be entitled to a cash payment or other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lieu of reimbursements for the actual costs of premiums for COBRA continuation hereunder. The amount of expenses eligible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during any calendar year shall not be affected by the amount of expenses eligible for reimbursement in any other calendar year.</w:t>
      </w:r>
    </w:p>
    <w:p>
      <w:pPr>
        <w:spacing w:after="0" w:line="95" w:lineRule="exact"/>
        <w:rPr>
          <w:sz w:val="20"/>
          <w:szCs w:val="20"/>
          <w:color w:val="auto"/>
        </w:rPr>
      </w:pPr>
    </w:p>
    <w:p>
      <w:pPr>
        <w:ind w:right="220" w:firstLine="1371"/>
        <w:spacing w:after="0" w:line="256" w:lineRule="auto"/>
        <w:tabs>
          <w:tab w:leader="none" w:pos="16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Separation Benefits Upon Certain Terminations Not in Connection with a Change in Control. </w:t>
      </w:r>
      <w:r>
        <w:rPr>
          <w:rFonts w:ascii="Times New Roman" w:cs="Times New Roman" w:eastAsia="Times New Roman" w:hAnsi="Times New Roman"/>
          <w:sz w:val="18"/>
          <w:szCs w:val="18"/>
          <w:color w:val="auto"/>
        </w:rPr>
        <w:t>Upon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and the Executive’s employment with the Company by the Company pursuant to Section 5(c)(i), or upon expiration of the Term following the Company’s notice of non-renewal pursuant to Section 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occurs more than 3 months prior to any Change in Control and more than 12 months after any Change in Control, then in addition to the amounts described in Section 6(a) above, the Executive shall be entitled to the following, with those benefits described in Sections 6(c)(i), (ii), (iii), and (iv) specifically conditioned upon Executive’s execution and nonrevocation of a valid release as described in Section 6(d) and compliance with Executive’s obligations under Sections 7, 8, and 9:</w:t>
      </w:r>
    </w:p>
    <w:p>
      <w:pPr>
        <w:spacing w:after="0" w:line="78" w:lineRule="exact"/>
        <w:rPr>
          <w:rFonts w:ascii="Times New Roman" w:cs="Times New Roman" w:eastAsia="Times New Roman" w:hAnsi="Times New Roman"/>
          <w:sz w:val="18"/>
          <w:szCs w:val="18"/>
          <w:color w:val="auto"/>
        </w:rPr>
      </w:pPr>
    </w:p>
    <w:p>
      <w:pPr>
        <w:ind w:firstLine="1900"/>
        <w:spacing w:after="0" w:line="282" w:lineRule="auto"/>
        <w:tabs>
          <w:tab w:leader="none" w:pos="21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 amount equal to 12 months of his then current Base Salary (less applicable withholdings), payable in a lump sum on the 60th day following the date of the Executive’s separation from service (the “</w:t>
      </w:r>
      <w:r>
        <w:rPr>
          <w:rFonts w:ascii="Times New Roman" w:cs="Times New Roman" w:eastAsia="Times New Roman" w:hAnsi="Times New Roman"/>
          <w:sz w:val="18"/>
          <w:szCs w:val="18"/>
          <w:u w:val="single" w:color="auto"/>
          <w:color w:val="auto"/>
        </w:rPr>
        <w:t>Severance Payment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right="80" w:firstLine="1900"/>
        <w:spacing w:after="0" w:line="266" w:lineRule="auto"/>
        <w:tabs>
          <w:tab w:leader="none" w:pos="21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in an amount equal to an additional month of his then current Base Salary for each completed year of service with the Company as of the date of the Executive’s separation from service (less applicable withholdings), up to a maximum of 12 additional months of Base Salary (less applicable withholdings), with such payment to be made on the Severance Payment Date;</w:t>
      </w:r>
    </w:p>
    <w:p>
      <w:pPr>
        <w:spacing w:after="0" w:line="67" w:lineRule="exact"/>
        <w:rPr>
          <w:rFonts w:ascii="Times New Roman" w:cs="Times New Roman" w:eastAsia="Times New Roman" w:hAnsi="Times New Roman"/>
          <w:sz w:val="18"/>
          <w:szCs w:val="18"/>
          <w:color w:val="auto"/>
        </w:rPr>
      </w:pPr>
    </w:p>
    <w:p>
      <w:pPr>
        <w:ind w:right="20" w:firstLine="1900"/>
        <w:spacing w:after="0" w:line="261" w:lineRule="auto"/>
        <w:tabs>
          <w:tab w:leader="none" w:pos="22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in an amount equal to the Target Bonus for the fiscal year in which such termination occurred, multiplied by a fraction, the numerator of which is the number of days during which the Executive was employed by the Company in the fiscal year of his termination and the denominator of which is 365 (less applicable withholdings), with such payment to be made on the Severance Payment Date; and</w:t>
      </w:r>
    </w:p>
    <w:p>
      <w:pPr>
        <w:spacing w:after="0" w:line="71" w:lineRule="exact"/>
        <w:rPr>
          <w:rFonts w:ascii="Times New Roman" w:cs="Times New Roman" w:eastAsia="Times New Roman" w:hAnsi="Times New Roman"/>
          <w:sz w:val="18"/>
          <w:szCs w:val="18"/>
          <w:color w:val="auto"/>
        </w:rPr>
      </w:pPr>
    </w:p>
    <w:p>
      <w:pPr>
        <w:ind w:right="40" w:firstLine="1900"/>
        <w:spacing w:after="0" w:line="254" w:lineRule="auto"/>
        <w:tabs>
          <w:tab w:leader="none" w:pos="22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premium payments the Executive makes under COBRA to continue the Executive’s and, if applicable, the Executive’s family’s health insurance coverage under the Company’s group health insurance plan for 12 months from the date of termination. Reimbursements for COBRA premium payments shall begin on the Severance Payment Date and shall be made as soon as possible following the Executive’s submission to the Company of proof of timely payments, but not later than 30 days after the Executive’s submission of proof of timely payments; provided, however, all such claims for reimbursement shall be submitted by the Executive and paid by the Company no later than 15 months following the termination of the Executive’s employment. Any obligation for the Company to make payments for COBRA reimbursement under this Agreement shall immediately cease when the Executive becomes eligible for health insurance from a subsequent employer, and the Executive shall promptly notify the Company of such subsequent eligibility. If the Executive</w:t>
      </w:r>
    </w:p>
    <w:p>
      <w:pPr>
        <w:sectPr>
          <w:pgSz w:w="11900" w:h="16838" w:orient="portrait"/>
          <w:cols w:equalWidth="0" w:num="1">
            <w:col w:w="10560"/>
          </w:cols>
          <w:pgMar w:left="880" w:top="270" w:right="459" w:bottom="1440" w:gutter="0" w:footer="0" w:header="0"/>
        </w:sectPr>
      </w:pPr>
    </w:p>
    <w:bookmarkStart w:id="13" w:name="page14"/>
    <w:bookmarkEnd w:id="1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desires COBRA coverage, the Executive shall bear full responsibility for applying for COBRA coverage and nothing herein shall constitute a guarantee of COBRA benefits. Under no circumstances will the Executive be entitled to a cash payment or other benefit in lieu of reimbursements for the actual costs of premiums for COBRA continuation hereunder. The amount of expenses eligible for reimbursement during any calendar year shall not be affected by the amount of expenses eligible for reimbursement in any other calendar year.</w:t>
      </w:r>
    </w:p>
    <w:p>
      <w:pPr>
        <w:spacing w:after="0" w:line="68" w:lineRule="exact"/>
        <w:rPr>
          <w:sz w:val="20"/>
          <w:szCs w:val="20"/>
          <w:color w:val="auto"/>
        </w:rPr>
      </w:pPr>
    </w:p>
    <w:p>
      <w:pPr>
        <w:ind w:right="80" w:firstLine="1371"/>
        <w:spacing w:after="0" w:line="254" w:lineRule="auto"/>
        <w:tabs>
          <w:tab w:leader="none" w:pos="1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 of Claims</w:t>
      </w:r>
      <w:r>
        <w:rPr>
          <w:rFonts w:ascii="Times New Roman" w:cs="Times New Roman" w:eastAsia="Times New Roman" w:hAnsi="Times New Roman"/>
          <w:sz w:val="18"/>
          <w:szCs w:val="18"/>
          <w:color w:val="auto"/>
        </w:rPr>
        <w:t>. Notwithstanding any provision of this Agreement to the contrary, the Company’s obligation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payments and benefits under Section 6(b) or 6(c) of this Agreement (as applicable) is conditioned upon the Executive’s execution and non-revocation of an enforceable release of claims and Executive’s compliance with Executive’s obligations under Sections 7, 8, and 9 of this Agreement. If the Executive chooses not to execute such a release, timely revokes the release, or fails to comply with Executive’s obligations under Sections 7, 8, and 9 of this Agreement, then the Company’s obligation to compensate Executive will cease upon the termination of Executive’s employment except as to amounts due at the time pursuant to Section 6(a). The Company shall provide the release of claims to the Executive within seven days of Executive’s separation from service, and the Executive must execute it within the time period specified in the release (which shall not be longer than 45 days from the date of receipt). Such release shall not be effective until any applicable revocation period has expired.</w:t>
      </w:r>
    </w:p>
    <w:p>
      <w:pPr>
        <w:spacing w:after="0" w:line="80" w:lineRule="exact"/>
        <w:rPr>
          <w:rFonts w:ascii="Times New Roman" w:cs="Times New Roman" w:eastAsia="Times New Roman" w:hAnsi="Times New Roman"/>
          <w:sz w:val="18"/>
          <w:szCs w:val="18"/>
          <w:b w:val="1"/>
          <w:bCs w:val="1"/>
          <w:color w:val="auto"/>
        </w:rPr>
      </w:pPr>
    </w:p>
    <w:p>
      <w:pPr>
        <w:ind w:left="1620" w:hanging="249"/>
        <w:spacing w:after="0"/>
        <w:tabs>
          <w:tab w:leader="none" w:pos="16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For purposes of this Agreement, a Change in Control shall be deemed to have occurred:</w:t>
      </w:r>
    </w:p>
    <w:p>
      <w:pPr>
        <w:spacing w:after="0" w:line="121" w:lineRule="exact"/>
        <w:rPr>
          <w:rFonts w:ascii="Times New Roman" w:cs="Times New Roman" w:eastAsia="Times New Roman" w:hAnsi="Times New Roman"/>
          <w:sz w:val="18"/>
          <w:szCs w:val="18"/>
          <w:b w:val="1"/>
          <w:bCs w:val="1"/>
          <w:color w:val="auto"/>
        </w:rPr>
      </w:pPr>
    </w:p>
    <w:p>
      <w:pPr>
        <w:ind w:right="20" w:firstLine="1900"/>
        <w:spacing w:after="0" w:line="256" w:lineRule="auto"/>
        <w:tabs>
          <w:tab w:leader="none" w:pos="211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(as such term is used in sections 13(d) and 14(d) of the Securities Exchange Act of 1934) becomes a “beneficial owner” (as defined in Rule 13d-3 under the Securities Exchange Act of 1934), directly or indirectly, of securities of the Company representing more than 50% of the voting power of the then outstanding securities of the Company; provided that a Change in Control shall not be deemed to occur as a result of a transaction in which the Company becomes a subsidiary of another corporation and in which the shareholders of the Company, immediately prior to the transaction, will beneficially own, immediately after the transaction, shares entitling such shareholders to more than 50% of all votes to which all shareholders of the parent corporation would be entitled in the election of directors;</w:t>
      </w:r>
    </w:p>
    <w:p>
      <w:pPr>
        <w:spacing w:after="0" w:line="79" w:lineRule="exact"/>
        <w:rPr>
          <w:rFonts w:ascii="Times New Roman" w:cs="Times New Roman" w:eastAsia="Times New Roman" w:hAnsi="Times New Roman"/>
          <w:sz w:val="18"/>
          <w:szCs w:val="18"/>
          <w:color w:val="auto"/>
        </w:rPr>
      </w:pPr>
    </w:p>
    <w:p>
      <w:pPr>
        <w:ind w:right="80" w:firstLine="1900"/>
        <w:spacing w:after="0" w:line="256" w:lineRule="auto"/>
        <w:tabs>
          <w:tab w:leader="none" w:pos="21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24 consecutive months or less such that a majority of the Board ceases to be comprised of individuals who either (A) have been Board members continuously since the beginning of such period (“</w:t>
      </w:r>
      <w:r>
        <w:rPr>
          <w:rFonts w:ascii="Times New Roman" w:cs="Times New Roman" w:eastAsia="Times New Roman" w:hAnsi="Times New Roman"/>
          <w:sz w:val="18"/>
          <w:szCs w:val="18"/>
          <w:u w:val="single" w:color="auto"/>
          <w:color w:val="auto"/>
        </w:rPr>
        <w:t>Incumbent Directors</w:t>
      </w:r>
      <w:r>
        <w:rPr>
          <w:rFonts w:ascii="Times New Roman" w:cs="Times New Roman" w:eastAsia="Times New Roman" w:hAnsi="Times New Roman"/>
          <w:sz w:val="18"/>
          <w:szCs w:val="18"/>
          <w:color w:val="auto"/>
        </w:rPr>
        <w:t>”) or (B) have been elected or nominated for election as Board members during such period by at least a majority of the Incumbent Directors who were still in office at the time the Board approved such election or nomination; provided that any individual who becomes a Board member subsequent to the beginning of such period and whose election or nomination was approved by two-thirds of the Board members then comprising the Incumbent Directors will be considered an Incumbent Director; or</w:t>
      </w:r>
    </w:p>
    <w:p>
      <w:pPr>
        <w:spacing w:after="0" w:line="79" w:lineRule="exact"/>
        <w:rPr>
          <w:rFonts w:ascii="Times New Roman" w:cs="Times New Roman" w:eastAsia="Times New Roman" w:hAnsi="Times New Roman"/>
          <w:sz w:val="18"/>
          <w:szCs w:val="18"/>
          <w:color w:val="auto"/>
        </w:rPr>
      </w:pPr>
    </w:p>
    <w:p>
      <w:pPr>
        <w:ind w:right="280" w:firstLine="1900"/>
        <w:spacing w:after="0" w:line="261" w:lineRule="auto"/>
        <w:tabs>
          <w:tab w:leader="none" w:pos="221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(A) a merger or consolidation of the Company with another corporation where the shareholders of the Company, immediately prior to the merger or consolidation, will not beneficially own, immediately after the merger or consolidation, shares entitling such shareholders to more than 50% of all votes to which all shareholders of the surviving corporation would be entitled in the election of directors, or (B) a sale or other disposition of all or substantially all of the assets of the Company.</w:t>
      </w:r>
    </w:p>
    <w:p>
      <w:pPr>
        <w:spacing w:after="0" w:line="67" w:lineRule="exact"/>
        <w:rPr>
          <w:rFonts w:ascii="Times New Roman" w:cs="Times New Roman" w:eastAsia="Times New Roman" w:hAnsi="Times New Roman"/>
          <w:sz w:val="18"/>
          <w:szCs w:val="18"/>
          <w:color w:val="auto"/>
        </w:rPr>
      </w:pPr>
    </w:p>
    <w:p>
      <w:pPr>
        <w:ind w:left="1600" w:hanging="229"/>
        <w:spacing w:after="0"/>
        <w:tabs>
          <w:tab w:leader="none" w:pos="16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 </w:t>
      </w:r>
      <w:r>
        <w:rPr>
          <w:rFonts w:ascii="Times New Roman" w:cs="Times New Roman" w:eastAsia="Times New Roman" w:hAnsi="Times New Roman"/>
          <w:sz w:val="18"/>
          <w:szCs w:val="18"/>
          <w:color w:val="auto"/>
        </w:rPr>
        <w:t>For the avoidance of doubt, in no situation will Executive be entitled to benefits under both Section 6(b) and</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6(c).</w:t>
      </w:r>
    </w:p>
    <w:p>
      <w:pPr>
        <w:spacing w:after="0" w:line="94" w:lineRule="exact"/>
        <w:rPr>
          <w:rFonts w:ascii="Times New Roman" w:cs="Times New Roman" w:eastAsia="Times New Roman" w:hAnsi="Times New Roman"/>
          <w:sz w:val="18"/>
          <w:szCs w:val="18"/>
          <w:b w:val="1"/>
          <w:bCs w:val="1"/>
          <w:color w:val="auto"/>
        </w:rPr>
      </w:pPr>
    </w:p>
    <w:p>
      <w:pPr>
        <w:ind w:right="180" w:firstLine="1371"/>
        <w:spacing w:after="0" w:line="286" w:lineRule="auto"/>
        <w:tabs>
          <w:tab w:leader="none" w:pos="162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Further Obligations</w:t>
      </w:r>
      <w:r>
        <w:rPr>
          <w:rFonts w:ascii="Times New Roman" w:cs="Times New Roman" w:eastAsia="Times New Roman" w:hAnsi="Times New Roman"/>
          <w:sz w:val="18"/>
          <w:szCs w:val="18"/>
          <w:color w:val="auto"/>
        </w:rPr>
        <w:t>. Except as expressly provided above or as otherwise required by law, the Company will have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to Executive in the event of the termination of this Agreement for any reason.</w:t>
      </w:r>
    </w:p>
    <w:p>
      <w:pPr>
        <w:sectPr>
          <w:pgSz w:w="11900" w:h="16838" w:orient="portrait"/>
          <w:cols w:equalWidth="0" w:num="1">
            <w:col w:w="10560"/>
          </w:cols>
          <w:pgMar w:left="880" w:top="270" w:right="459" w:bottom="1440" w:gutter="0" w:footer="0" w:header="0"/>
        </w:sectPr>
      </w:pPr>
    </w:p>
    <w:bookmarkStart w:id="14" w:name="page15"/>
    <w:bookmarkEnd w:id="14"/>
    <w:p>
      <w:pPr>
        <w:ind w:left="440" w:right="40" w:firstLine="1371"/>
        <w:spacing w:after="0" w:line="253" w:lineRule="auto"/>
        <w:tabs>
          <w:tab w:leader="none" w:pos="2079"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280G Cutback</w:t>
      </w:r>
      <w:r>
        <w:rPr>
          <w:rFonts w:ascii="Times New Roman" w:cs="Times New Roman" w:eastAsia="Times New Roman" w:hAnsi="Times New Roman"/>
          <w:sz w:val="18"/>
          <w:szCs w:val="18"/>
          <w:color w:val="auto"/>
        </w:rPr>
        <w:t>. Notwithstanding any other provision of this Agreement to the contrary, if any payment or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or to be provided by the Company pursuant to the terms of this Agreement (“</w:t>
      </w:r>
      <w:r>
        <w:rPr>
          <w:rFonts w:ascii="Times New Roman" w:cs="Times New Roman" w:eastAsia="Times New Roman" w:hAnsi="Times New Roman"/>
          <w:sz w:val="18"/>
          <w:szCs w:val="18"/>
          <w:u w:val="single" w:color="auto"/>
          <w:color w:val="auto"/>
        </w:rPr>
        <w:t>Covered Payments</w:t>
      </w:r>
      <w:r>
        <w:rPr>
          <w:rFonts w:ascii="Times New Roman" w:cs="Times New Roman" w:eastAsia="Times New Roman" w:hAnsi="Times New Roman"/>
          <w:sz w:val="18"/>
          <w:szCs w:val="18"/>
          <w:color w:val="auto"/>
        </w:rPr>
        <w:t>”) constitute parachute payments (“</w:t>
      </w:r>
      <w:r>
        <w:rPr>
          <w:rFonts w:ascii="Times New Roman" w:cs="Times New Roman" w:eastAsia="Times New Roman" w:hAnsi="Times New Roman"/>
          <w:sz w:val="18"/>
          <w:szCs w:val="18"/>
          <w:u w:val="single" w:color="auto"/>
          <w:color w:val="auto"/>
        </w:rPr>
        <w:t>Parachute Payments</w:t>
      </w:r>
      <w:r>
        <w:rPr>
          <w:rFonts w:ascii="Times New Roman" w:cs="Times New Roman" w:eastAsia="Times New Roman" w:hAnsi="Times New Roman"/>
          <w:sz w:val="18"/>
          <w:szCs w:val="18"/>
          <w:color w:val="auto"/>
        </w:rPr>
        <w:t>”) within the meaning of the Section 280G of the Code (as defined below), the Treasury Regulations and other guidance issued thereunder by the United States Department of the Treasury, and all state laws of similar effect (collectively,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 and would, but for this section of the Agreement be subject to the excise tax imposed under Section 4999 of the Code (or any successor provision thereto) or any similar tax imposed by state or local law or any interest or penalties with respect to such taxes (collectively,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prior to making the Covered Payments, a calculation shall be made comparing (i) the Net Benefit (as defined below) of the Covered Payments after payment of the Excise Tax to (ii) the Net Benefit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Times New Roman" w:cs="Times New Roman" w:eastAsia="Times New Roman" w:hAnsi="Times New Roman"/>
          <w:sz w:val="18"/>
          <w:szCs w:val="18"/>
          <w:u w:val="single" w:color="auto"/>
          <w:color w:val="auto"/>
        </w:rPr>
        <w:t>Reduced Amount</w:t>
      </w:r>
      <w:r>
        <w:rPr>
          <w:rFonts w:ascii="Times New Roman" w:cs="Times New Roman" w:eastAsia="Times New Roman" w:hAnsi="Times New Roman"/>
          <w:sz w:val="18"/>
          <w:szCs w:val="18"/>
          <w:color w:val="auto"/>
        </w:rPr>
        <w:t>”). For this purpose, “</w:t>
      </w:r>
      <w:r>
        <w:rPr>
          <w:rFonts w:ascii="Times New Roman" w:cs="Times New Roman" w:eastAsia="Times New Roman" w:hAnsi="Times New Roman"/>
          <w:sz w:val="18"/>
          <w:szCs w:val="18"/>
          <w:u w:val="single" w:color="auto"/>
          <w:color w:val="auto"/>
        </w:rPr>
        <w:t>Net Benefit</w:t>
      </w:r>
      <w:r>
        <w:rPr>
          <w:rFonts w:ascii="Times New Roman" w:cs="Times New Roman" w:eastAsia="Times New Roman" w:hAnsi="Times New Roman"/>
          <w:sz w:val="18"/>
          <w:szCs w:val="18"/>
          <w:color w:val="auto"/>
        </w:rPr>
        <w:t>” shall mean the present value of the Covered Payments net of all federal, state, local, foreign income, employment and excise taxes. Any such reduction shall be made in accordance with Section 409A (as defined below).</w:t>
      </w:r>
    </w:p>
    <w:p>
      <w:pPr>
        <w:spacing w:after="0" w:line="86" w:lineRule="exact"/>
        <w:rPr>
          <w:sz w:val="20"/>
          <w:szCs w:val="20"/>
          <w:color w:val="auto"/>
        </w:rPr>
      </w:pPr>
    </w:p>
    <w:p>
      <w:pPr>
        <w:ind w:left="440" w:right="320" w:firstLine="1375"/>
        <w:spacing w:after="0" w:line="255" w:lineRule="auto"/>
        <w:rPr>
          <w:sz w:val="20"/>
          <w:szCs w:val="20"/>
          <w:color w:val="auto"/>
        </w:rPr>
      </w:pPr>
      <w:r>
        <w:rPr>
          <w:rFonts w:ascii="Times New Roman" w:cs="Times New Roman" w:eastAsia="Times New Roman" w:hAnsi="Times New Roman"/>
          <w:sz w:val="18"/>
          <w:szCs w:val="18"/>
          <w:color w:val="auto"/>
        </w:rPr>
        <w:t>Any determination required under this section shall be made in writing in good faith by the accounting firm that was the Company’s independent auditor immediately before the change in control (the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which shall provide detailed supporting calculations to the Company and Executive upon reasonable request. The Company and Executive shall provide the Accountants with such information and documents as the Accountants may reasonably request in order to make a determination under this section. For purposes of making the calculations and determinations required by this section, the Accountants may rely on reasonable, good faith assumptions and approximations concerning the application of Section 280G and Section 4999 of the Code. The Accountants’ determinations shall be final and binding on all interested parties.</w:t>
      </w:r>
    </w:p>
    <w:p>
      <w:pPr>
        <w:spacing w:after="0" w:line="189" w:lineRule="exact"/>
        <w:rPr>
          <w:sz w:val="20"/>
          <w:szCs w:val="20"/>
          <w:color w:val="auto"/>
        </w:rPr>
      </w:pPr>
    </w:p>
    <w:p>
      <w:pPr>
        <w:jc w:val="both"/>
        <w:ind w:firstLine="436"/>
        <w:spacing w:after="0" w:line="261" w:lineRule="auto"/>
        <w:tabs>
          <w:tab w:leader="none" w:pos="6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Acceptance; No Breach; No Good Reason</w:t>
      </w:r>
      <w:r>
        <w:rPr>
          <w:rFonts w:ascii="Times New Roman" w:cs="Times New Roman" w:eastAsia="Times New Roman" w:hAnsi="Times New Roman"/>
          <w:sz w:val="18"/>
          <w:szCs w:val="18"/>
          <w:color w:val="auto"/>
        </w:rPr>
        <w:t>. The Executive hereby consents to this Amendment, and acknowledges and agrees that his consent to and acceptance of this Amendment is both knowing and voluntary. The Executive further acknowledges and agrees that this Amendment will not constitute or create a breach of any material provision of the Employment Agreement or any grounds for the Executive to terminate his employment with the Company for “Good Reason” in accordance with Subsection 5(b)(ii) of the Employment Agreement.</w:t>
      </w:r>
    </w:p>
    <w:p>
      <w:pPr>
        <w:spacing w:after="0" w:line="180" w:lineRule="exact"/>
        <w:rPr>
          <w:sz w:val="20"/>
          <w:szCs w:val="20"/>
          <w:color w:val="auto"/>
        </w:rPr>
      </w:pPr>
    </w:p>
    <w:p>
      <w:pPr>
        <w:ind w:right="520" w:firstLine="436"/>
        <w:spacing w:after="0" w:line="282" w:lineRule="auto"/>
        <w:tabs>
          <w:tab w:leader="none" w:pos="7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Remainder of Employment Agreement</w:t>
      </w:r>
      <w:r>
        <w:rPr>
          <w:rFonts w:ascii="Times New Roman" w:cs="Times New Roman" w:eastAsia="Times New Roman" w:hAnsi="Times New Roman"/>
          <w:sz w:val="18"/>
          <w:szCs w:val="18"/>
          <w:color w:val="auto"/>
        </w:rPr>
        <w:t>. Except as expressly amended by this Amendment, the remaining provisions of the Employment Agreement shall remain in full force and effect, in their entirety, in accordance with their terms.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Except as modified and amended by this Amendment, capitalized terms in this Amendment shall have the meanings as defined by the Employment Agreement.</w:t>
      </w:r>
    </w:p>
    <w:p>
      <w:pPr>
        <w:spacing w:after="0" w:line="162" w:lineRule="exact"/>
        <w:rPr>
          <w:sz w:val="20"/>
          <w:szCs w:val="20"/>
          <w:color w:val="auto"/>
        </w:rPr>
      </w:pPr>
    </w:p>
    <w:p>
      <w:pPr>
        <w:ind w:left="640" w:hanging="204"/>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140" w:firstLine="987"/>
        <w:spacing w:after="0" w:line="266" w:lineRule="auto"/>
        <w:tabs>
          <w:tab w:leader="none" w:pos="11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As amended by this Amendment, the Employment Agreement is the final, complete and exclusive agreement of the Parties with respect to the subject matter thereof and supersedes and merges all prior discussions and agreements (whether written or oral and whether express or implied) between the Parties to the extent related to such subject matter.</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1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will be deemed an original but all of which together will constitute one and the same agreement. Facsimile or PDF reproductions of original signatures will be deemed binding for the purpose of the execution of this Amendment.</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1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No amendment of any provision of this Amendment will be valid unless the amendment is in writing and signed by the Company and the Executive. No waiver of any provision of this Amendment will be valid unless the waiver is in writing and signed by the waiving Party. The failure of a Party at any time to require performance of any provision of this Amendment will not affect such Party’s rights at a later time to enforce such provision. No waiver by a Party of any breach of this Amendment will be deemed to extend to any other breach hereunder or affect in any way any rights arising by virtue of any other breach.</w:t>
      </w:r>
    </w:p>
    <w:p>
      <w:pPr>
        <w:sectPr>
          <w:pgSz w:w="11900" w:h="16838" w:orient="portrait"/>
          <w:cols w:equalWidth="0" w:num="1">
            <w:col w:w="11000"/>
          </w:cols>
          <w:pgMar w:left="440" w:top="266" w:right="459" w:bottom="1440" w:gutter="0" w:footer="0" w:header="0"/>
        </w:sectPr>
      </w:pPr>
    </w:p>
    <w:bookmarkStart w:id="15" w:name="page16"/>
    <w:bookmarkEnd w:id="15"/>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provision of this Amendment is severable from every other provision of this Amendment. Any provision of this Amendment that is determined by any court of competent jurisdiction to be invalid or unenforceable will not affect the validity or enforceability of any other provision. Any provision of this Amendment held invalid or unenforceable only in part or degree will remain in full force and effect to the extent not held invalid or unenforceable.</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section headings in this Amendment are inserted for convenience only and are not intended to affect the interpretation of this Amendment. The word “including” in this Amendment means “including without limitation.” This Amendment will be construed as if drafted jointly by the Company and the Executive and no presumption or burden of proof will arise favoring or disfavoring the Company or the Executive by virtue of the authorship of any provision in this Amendment. All words in this Amendment will be construed to be of such gender or number as the circumstances require.</w:t>
      </w:r>
    </w:p>
    <w:p>
      <w:pPr>
        <w:spacing w:after="0" w:line="183"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The rights and remedies of the Parties under the Employment Agreement as amended by this Amendment are cumulative (not alternative) and in addition to all other rights and remedies available to such Parties at law, in equity, by contract or otherwise.</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Choice of Law/Choice of Venue/Effect/Assignment.</w:t>
      </w:r>
      <w:r>
        <w:rPr>
          <w:rFonts w:ascii="Times New Roman" w:cs="Times New Roman" w:eastAsia="Times New Roman" w:hAnsi="Times New Roman"/>
          <w:sz w:val="18"/>
          <w:szCs w:val="18"/>
          <w:color w:val="auto"/>
        </w:rPr>
        <w:t xml:space="preserve"> This Amendment shall be interpreted and governed under the laws of the State of North Carolina, without regard to its choice of law rules, and shall be binding on and inure to the respective benefit of the Company and its successors and assigns and the Executive and his personal representatives. The exclusive jurisdiction for any dispute arising under or relating to this Amendment shall be the state or federal courts sitting in Wake County, North Carolina, and each party hereby irrevocably consents to the personal jurisdiction of such courts. The Company shall require any successor (whether direct or indirect, by purchase, merger, consolidation, reorganization or otherwise) to all or substantially all of the business or assets of the Company, within 15 days of such succession, expressly to assume and agree to perform this Amendment in the same manner and to the same extent as the Company would be required to perform if no such succession had taken place. The Executive may not assign this Amendment or delegate his obligations hereunder. As used in this Amendment, “Company” shall mean the Company and any such successor which assumes and agrees to perform the duties and obligations of the Company under this Amendment by operation of law or otherwise.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Immediately Follows]</w:t>
      </w:r>
    </w:p>
    <w:p>
      <w:pPr>
        <w:sectPr>
          <w:pgSz w:w="11900" w:h="16838" w:orient="portrait"/>
          <w:cols w:equalWidth="0" w:num="1">
            <w:col w:w="10980"/>
          </w:cols>
          <w:pgMar w:left="440" w:top="270" w:right="479" w:bottom="1440" w:gutter="0" w:footer="0" w:header="0"/>
        </w:sectPr>
      </w:pPr>
    </w:p>
    <w:bookmarkStart w:id="16" w:name="page17"/>
    <w:bookmarkEnd w:id="1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Amendment to Executive Employment Agreement as of the day and year first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Christopher T. Giordano</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Christopher T. Giordano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to Amendment to Executive Employment Agreement]</w:t>
      </w:r>
    </w:p>
    <w:p>
      <w:pPr>
        <w:sectPr>
          <w:pgSz w:w="11900" w:h="16838" w:orient="portrait"/>
          <w:cols w:equalWidth="0" w:num="1">
            <w:col w:w="10820"/>
          </w:cols>
          <w:pgMar w:left="440" w:top="266" w:right="6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EXECUTIVE EMPLOYMENT AGREEMENT</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THIRD AMENDMENT TO EXECUTIVE EMPLOYMENT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made as of June 29, 2026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Tenax Therapeutics, Inc., a Delaware corporation, with its principal place of business in North Carolina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Stuart Rich, MD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The Company and Executive are sometimes referred to herein each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previously entered into that certain Executive Employment Agreement dated on or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15, 2021, as amended on June 12, 2024 and January 6, 2026, whereby the Company employed the Executive as its Chief Medical Officer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wish to amend the Employment Agreement pursuant to this Amendment; and</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expressly intend that this Amendment shall be a writing intended to be an amendment, modification and/or supplement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Employment Agreement.</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of the mutual promises herein, and of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the parties acknowledge, the Company and the Executive agree as follows:</w:t>
      </w:r>
    </w:p>
    <w:p>
      <w:pPr>
        <w:spacing w:after="0" w:line="5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Amended Section 4(b)</w:t>
      </w:r>
      <w:r>
        <w:rPr>
          <w:rFonts w:ascii="Times New Roman" w:cs="Times New Roman" w:eastAsia="Times New Roman" w:hAnsi="Times New Roman"/>
          <w:sz w:val="18"/>
          <w:szCs w:val="18"/>
          <w:color w:val="auto"/>
        </w:rPr>
        <w:t>. The Company and the Executive hereby agree that Section 4(b) of the Employment Agreement is hereby replaced and superseded in its entirety by the following amended Section 4(b):</w:t>
      </w:r>
    </w:p>
    <w:p>
      <w:pPr>
        <w:spacing w:after="0" w:line="54" w:lineRule="exact"/>
        <w:rPr>
          <w:sz w:val="20"/>
          <w:szCs w:val="20"/>
          <w:color w:val="auto"/>
        </w:rPr>
      </w:pPr>
    </w:p>
    <w:p>
      <w:pPr>
        <w:ind w:left="440" w:right="60" w:firstLine="419"/>
        <w:spacing w:after="0" w:line="254" w:lineRule="auto"/>
        <w:tabs>
          <w:tab w:leader="none" w:pos="11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Bonuses</w:t>
      </w:r>
      <w:r>
        <w:rPr>
          <w:rFonts w:ascii="Times New Roman" w:cs="Times New Roman" w:eastAsia="Times New Roman" w:hAnsi="Times New Roman"/>
          <w:sz w:val="18"/>
          <w:szCs w:val="18"/>
          <w:color w:val="auto"/>
        </w:rPr>
        <w:t>. Each fiscal year during the Term, the Executive shall be entitled to an annual bonus the amount of which is based on percentage achievement of annual goals set by the Company, after consultation with the Executive, at the beginning of each fiscal year for such fiscal year (“</w:t>
      </w: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which achievement shall be determined as of the last day of such fiscal year. If the Executive achieves 100% of the annual goals, the Annual Bonus shall be 40% of his Base Salary (“</w:t>
      </w:r>
      <w:r>
        <w:rPr>
          <w:rFonts w:ascii="Times New Roman" w:cs="Times New Roman" w:eastAsia="Times New Roman" w:hAnsi="Times New Roman"/>
          <w:sz w:val="18"/>
          <w:szCs w:val="18"/>
          <w:b w:val="1"/>
          <w:bCs w:val="1"/>
          <w:color w:val="auto"/>
        </w:rPr>
        <w:t>Target Bonus</w:t>
      </w:r>
      <w:r>
        <w:rPr>
          <w:rFonts w:ascii="Times New Roman" w:cs="Times New Roman" w:eastAsia="Times New Roman" w:hAnsi="Times New Roman"/>
          <w:sz w:val="18"/>
          <w:szCs w:val="18"/>
          <w:color w:val="auto"/>
        </w:rPr>
        <w:t>”). There is no cap on the Annual Bonus for exceeding 100% of annual goals; for example, an achievement of 200% of annual goals would result in an Annual Bonus equal to 80% of his Base Salary. The Annual Bonus shall be paid in accordance with the Company’s regular bonus payment procedures, and, in all events, will be paid no later than 75 days following the end of the fiscal year in which the Annual Bonus was earned. Except as otherwise set forth in Section 5(d)(ii)(C) and Section 5(d)(iii)(C), in order to be eligible to receive the Annual Bonus, the Executive must be employed by the Company on the last day of the fiscal year in which the Annual Bonus was earned.</w:t>
      </w:r>
    </w:p>
    <w:p>
      <w:pPr>
        <w:spacing w:after="0" w:line="188" w:lineRule="exact"/>
        <w:rPr>
          <w:rFonts w:ascii="Times New Roman" w:cs="Times New Roman" w:eastAsia="Times New Roman" w:hAnsi="Times New Roman"/>
          <w:sz w:val="18"/>
          <w:szCs w:val="18"/>
          <w:color w:val="auto"/>
        </w:rPr>
      </w:pPr>
    </w:p>
    <w:p>
      <w:pPr>
        <w:ind w:right="140" w:firstLine="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Amended Section 5(d)</w:t>
      </w:r>
      <w:r>
        <w:rPr>
          <w:rFonts w:ascii="Times New Roman" w:cs="Times New Roman" w:eastAsia="Times New Roman" w:hAnsi="Times New Roman"/>
          <w:sz w:val="18"/>
          <w:szCs w:val="18"/>
          <w:color w:val="auto"/>
        </w:rPr>
        <w:t>. The Company and the Executive hereby agree that Section 5(d) of the Employment Agreement is hereby replaced and superseded in its entirety by the following amended Section 5(d):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upon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1371"/>
        <w:spacing w:after="0" w:line="256" w:lineRule="auto"/>
        <w:tabs>
          <w:tab w:leader="none" w:pos="203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upon the termination of this Agreement and the Executive’s employment with the Company pursuant to the expiration of the Term following the Executive’s notice of non-renewal pursuant to Section 3, by the Executive pursuant to Section 5(b)(i) (Voluntary Resignation), or by the Company pursuant to Section 5(c)(ii) (Death), (iii) (Disability) or (iv) (Cause), the Company shall have no further obligations hereunder other than the payment of all compensation and other benefits payable to the Executive (or his estate or heirs) through the date of such termination in accordance with the Company’s normal payroll cycle and terms of the applicable benefit plans and programs in existence at the time the Executive’s employment is terminated.</w:t>
      </w:r>
    </w:p>
    <w:p>
      <w:pPr>
        <w:sectPr>
          <w:pgSz w:w="11900" w:h="16838" w:orient="portrait"/>
          <w:cols w:equalWidth="0" w:num="1">
            <w:col w:w="11020"/>
          </w:cols>
          <w:pgMar w:left="440" w:top="117" w:right="439" w:bottom="1440" w:gutter="0" w:footer="0" w:header="0"/>
        </w:sectPr>
      </w:pPr>
    </w:p>
    <w:bookmarkStart w:id="18" w:name="page19"/>
    <w:bookmarkEnd w:id="18"/>
    <w:p>
      <w:pPr>
        <w:ind w:left="4" w:firstLine="1371"/>
        <w:spacing w:after="0" w:line="255" w:lineRule="auto"/>
        <w:tabs>
          <w:tab w:leader="none" w:pos="164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termination of this Agreement and the Executive’s employment with the Company by the Company pursuant to Section 5(c)(i) (Without Cause), upon expiration of the Term following the Company’s notice of non-renewal pursuant to Section 3, or by the Executive pursuant to Section 5(b)(ii) (Good Reason), in each case during the period beginning 3 months prior to and ending 12 months following a Change in Control, the Executive shall be entitled to the following, with those benefits described in Sections 5(d)(ii)(B), (C), (D), and</w:t>
      </w:r>
    </w:p>
    <w:p>
      <w:pPr>
        <w:spacing w:after="0" w:line="2" w:lineRule="exact"/>
        <w:rPr>
          <w:rFonts w:ascii="Times New Roman" w:cs="Times New Roman" w:eastAsia="Times New Roman" w:hAnsi="Times New Roman"/>
          <w:sz w:val="18"/>
          <w:szCs w:val="18"/>
          <w:color w:val="auto"/>
        </w:rPr>
      </w:pPr>
    </w:p>
    <w:p>
      <w:pPr>
        <w:ind w:left="4" w:right="40" w:hanging="4"/>
        <w:spacing w:after="0" w:line="260" w:lineRule="auto"/>
        <w:tabs>
          <w:tab w:leader="none" w:pos="2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conditioned upon Executive’s execution and nonrevocation of a valid release under Section 6 and compliance with his obligations under Sections 7, 8, and 9:</w:t>
      </w:r>
    </w:p>
    <w:p>
      <w:pPr>
        <w:spacing w:after="0" w:line="73" w:lineRule="exact"/>
        <w:rPr>
          <w:rFonts w:ascii="Times New Roman" w:cs="Times New Roman" w:eastAsia="Times New Roman" w:hAnsi="Times New Roman"/>
          <w:sz w:val="18"/>
          <w:szCs w:val="18"/>
          <w:color w:val="auto"/>
        </w:rPr>
      </w:pPr>
    </w:p>
    <w:p>
      <w:pPr>
        <w:ind w:left="4" w:right="260" w:firstLine="1900"/>
        <w:spacing w:after="0" w:line="266" w:lineRule="auto"/>
        <w:tabs>
          <w:tab w:leader="none" w:pos="2202"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compensation and other benefits payable to the Executive through the date of such termination in accordance with the Company’s normal payroll cycle and terms of the applicable benefit plans and programs in existence at the time the Executive’s employment is terminated;</w:t>
      </w:r>
    </w:p>
    <w:p>
      <w:pPr>
        <w:spacing w:after="0" w:line="67" w:lineRule="exact"/>
        <w:rPr>
          <w:rFonts w:ascii="Times New Roman" w:cs="Times New Roman" w:eastAsia="Times New Roman" w:hAnsi="Times New Roman"/>
          <w:sz w:val="18"/>
          <w:szCs w:val="18"/>
          <w:color w:val="auto"/>
        </w:rPr>
      </w:pPr>
    </w:p>
    <w:p>
      <w:pPr>
        <w:ind w:left="4" w:right="20" w:firstLine="1900"/>
        <w:spacing w:after="0" w:line="282" w:lineRule="auto"/>
        <w:tabs>
          <w:tab w:leader="none" w:pos="2192"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 amount equal to 12 months of his then current Base Salary (less applicable withholdings), payable in a lump sum on the 60th day following the date of the Executive’s separation from service (the “</w:t>
      </w:r>
      <w:r>
        <w:rPr>
          <w:rFonts w:ascii="Times New Roman" w:cs="Times New Roman" w:eastAsia="Times New Roman" w:hAnsi="Times New Roman"/>
          <w:sz w:val="18"/>
          <w:szCs w:val="18"/>
          <w:b w:val="1"/>
          <w:bCs w:val="1"/>
          <w:color w:val="auto"/>
        </w:rPr>
        <w:t>Change in Control Payment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right="40" w:firstLine="1900"/>
        <w:spacing w:after="0" w:line="282" w:lineRule="auto"/>
        <w:tabs>
          <w:tab w:leader="none" w:pos="2192"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in an amount equal to the Target Bonus for the fiscal year in which such termination occurred, with such payment to be made on the Change in Control Payment Date;</w:t>
      </w:r>
    </w:p>
    <w:p>
      <w:pPr>
        <w:spacing w:after="0" w:line="53" w:lineRule="exact"/>
        <w:rPr>
          <w:rFonts w:ascii="Times New Roman" w:cs="Times New Roman" w:eastAsia="Times New Roman" w:hAnsi="Times New Roman"/>
          <w:sz w:val="18"/>
          <w:szCs w:val="18"/>
          <w:color w:val="auto"/>
        </w:rPr>
      </w:pPr>
    </w:p>
    <w:p>
      <w:pPr>
        <w:ind w:left="2204" w:hanging="300"/>
        <w:spacing w:after="0"/>
        <w:tabs>
          <w:tab w:leader="none" w:pos="2204"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equity-based compensation awards shall become fully vested and the restrictions thereon shall lapse;</w:t>
      </w:r>
    </w:p>
    <w:p>
      <w:pPr>
        <w:spacing w:after="0" w:line="38"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7"/>
          <w:szCs w:val="17"/>
          <w:color w:val="auto"/>
        </w:rPr>
      </w:pPr>
    </w:p>
    <w:p>
      <w:pPr>
        <w:ind w:left="2184" w:hanging="280"/>
        <w:spacing w:after="0"/>
        <w:tabs>
          <w:tab w:leader="none" w:pos="218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premium payments the Executive makes under the Consolidated Budget Reconciliation Act</w:t>
      </w:r>
    </w:p>
    <w:p>
      <w:pPr>
        <w:spacing w:after="0" w:line="27" w:lineRule="exact"/>
        <w:rPr>
          <w:sz w:val="20"/>
          <w:szCs w:val="20"/>
          <w:color w:val="auto"/>
        </w:rPr>
      </w:pPr>
    </w:p>
    <w:p>
      <w:pPr>
        <w:ind w:left="4" w:right="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to continue the Executive’s and, if applicable, the Executive’s family’s health insurance coverage under the Company’s group health insurance plan for 12 months from the date of termination. Reimbursements for COBRA premium payments shall begin on the Change in Control Payment Date and shall be made as soon as possible following the Executive’s submission to the Company of proof of timely payments, but not later than 30 days after the Executive’s submission of proof of timely payments; provided, however, all such claims for reimbursement shall be submitted by the Executive and paid by the Company no later than 15 months following the termination of the Executive’s employment. Any obligation for the Company to make payments for COBRA reimbursement under this Agreement shall immediately cease when the Executive becomes eligible for health insurance from a subsequent employer, and the Executive shall promptly notify the Company of such subsequent eligibility. If the Executive desires COBRA coverage, the Executive shall bear full responsibility for applying for COBRA coverage and nothing herein shall constitute a guarantee of COBRA benefits. Under no circumstances will the Executive be entitled to a cash payment or other benefit in lieu of reimbursements for the actual costs of premiums for COBRA continuation hereunder. The amount of expenses eligible for reimbursement during any calendar year shall not be affected by the amount of expenses eligible for reimbursement in any other calendar year.</w:t>
      </w:r>
    </w:p>
    <w:p>
      <w:pPr>
        <w:spacing w:after="0" w:line="84" w:lineRule="exact"/>
        <w:rPr>
          <w:sz w:val="20"/>
          <w:szCs w:val="20"/>
          <w:color w:val="auto"/>
        </w:rPr>
      </w:pPr>
    </w:p>
    <w:p>
      <w:pPr>
        <w:ind w:left="4" w:right="100" w:firstLine="1371"/>
        <w:spacing w:after="0" w:line="258" w:lineRule="auto"/>
        <w:tabs>
          <w:tab w:leader="none" w:pos="16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and the Executive’s employment with the Company by the Company pursuant to Section 5(c)(i) (Without Cause), or upon expiration of the Term following the Company’s notice of non-renewal pursuant to Section 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occurs more than 3 months prior to any Change in Control or more than 12 months after any Change in Control, the Executive shall be entitled to the following, with those benefits described in Sections 5(d)(iii)(B), (C), (D), and (E) specifically conditioned upon Executive’s execution and nonrevocation of a valid release under Section 6 and compliance with his obligations under Sections 7, 8, and 9:</w:t>
      </w:r>
    </w:p>
    <w:p>
      <w:pPr>
        <w:spacing w:after="0" w:line="75" w:lineRule="exact"/>
        <w:rPr>
          <w:rFonts w:ascii="Times New Roman" w:cs="Times New Roman" w:eastAsia="Times New Roman" w:hAnsi="Times New Roman"/>
          <w:sz w:val="18"/>
          <w:szCs w:val="18"/>
          <w:color w:val="auto"/>
        </w:rPr>
      </w:pPr>
    </w:p>
    <w:p>
      <w:pPr>
        <w:ind w:left="4" w:right="260" w:firstLine="1900"/>
        <w:spacing w:after="0" w:line="266" w:lineRule="auto"/>
        <w:tabs>
          <w:tab w:leader="none" w:pos="220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compensation and other benefits payable to the Executive through the date of such termination in accordance with the Company’s normal payroll cycle and terms of the applicable benefit plans and programs in existence at the time the Executive’s employment is terminated;</w:t>
      </w:r>
    </w:p>
    <w:p>
      <w:pPr>
        <w:sectPr>
          <w:pgSz w:w="11900" w:h="16838" w:orient="portrait"/>
          <w:cols w:equalWidth="0" w:num="1">
            <w:col w:w="10544"/>
          </w:cols>
          <w:pgMar w:left="876" w:top="270" w:right="479" w:bottom="1440" w:gutter="0" w:footer="0" w:header="0"/>
        </w:sectPr>
      </w:pPr>
    </w:p>
    <w:bookmarkStart w:id="19" w:name="page20"/>
    <w:bookmarkEnd w:id="19"/>
    <w:p>
      <w:pPr>
        <w:ind w:right="40" w:firstLine="1900"/>
        <w:spacing w:after="0" w:line="282" w:lineRule="auto"/>
        <w:tabs>
          <w:tab w:leader="none" w:pos="218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an amount equal to 12 months of his then current Base Salary (less applicable withholdings), payable in a lump sum on the 60th day following the date of the Executive’s separation from service (the “</w:t>
      </w:r>
      <w:r>
        <w:rPr>
          <w:rFonts w:ascii="Times New Roman" w:cs="Times New Roman" w:eastAsia="Times New Roman" w:hAnsi="Times New Roman"/>
          <w:sz w:val="18"/>
          <w:szCs w:val="18"/>
          <w:b w:val="1"/>
          <w:bCs w:val="1"/>
          <w:color w:val="auto"/>
        </w:rPr>
        <w:t>Severance Payment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60" w:firstLine="1900"/>
        <w:spacing w:after="0" w:line="261" w:lineRule="auto"/>
        <w:tabs>
          <w:tab w:leader="none" w:pos="218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in an amount equal to the Target Bonus for the fiscal year in which such termination occurred, multiplied by a fraction, the numerator of which is the number of days during which the Executive was employed by the Company in the fiscal year of his termination and the denominator of which is 365 (less applicable withholdings), with such payment to be made on the Severance Payment Date;</w:t>
      </w:r>
    </w:p>
    <w:p>
      <w:pPr>
        <w:spacing w:after="0" w:line="71" w:lineRule="exact"/>
        <w:rPr>
          <w:rFonts w:ascii="Times New Roman" w:cs="Times New Roman" w:eastAsia="Times New Roman" w:hAnsi="Times New Roman"/>
          <w:sz w:val="18"/>
          <w:szCs w:val="18"/>
          <w:color w:val="auto"/>
        </w:rPr>
      </w:pPr>
    </w:p>
    <w:p>
      <w:pPr>
        <w:jc w:val="both"/>
        <w:ind w:right="80" w:firstLine="1900"/>
        <w:spacing w:after="0" w:line="266" w:lineRule="auto"/>
        <w:tabs>
          <w:tab w:leader="none" w:pos="219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in an amount equal to an additional month of his then current Base Salary for each completed year of service with the Company as of the date of the Executive’s separation from service (less applicable withholdings), up to a maximum of 12 additional months of Base Salary (less applicable withholdings), with such payment to be made on the Severance Payment Date;</w:t>
      </w:r>
    </w:p>
    <w:p>
      <w:pPr>
        <w:spacing w:after="0" w:line="67" w:lineRule="exact"/>
        <w:rPr>
          <w:rFonts w:ascii="Times New Roman" w:cs="Times New Roman" w:eastAsia="Times New Roman" w:hAnsi="Times New Roman"/>
          <w:sz w:val="18"/>
          <w:szCs w:val="18"/>
          <w:color w:val="auto"/>
        </w:rPr>
      </w:pPr>
    </w:p>
    <w:p>
      <w:pPr>
        <w:ind w:left="2180" w:hanging="280"/>
        <w:spacing w:after="0"/>
        <w:tabs>
          <w:tab w:leader="none" w:pos="21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shall become fully vested and the restrictions thereon shall lapse;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right="40" w:firstLine="1900"/>
        <w:spacing w:after="0" w:line="253" w:lineRule="auto"/>
        <w:tabs>
          <w:tab w:leader="none" w:pos="21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premium payments the Executive makes under COBRA to continue the Executive’s and, if applicable, the Executive’s family’s health insurance coverage under the Company’s group health insurance plan for 12 months from the date of termination. Reimbursements for COBRA premium payments shall begin on the Severance Payment Date and shall be made as soon as possible following the Executive’s submission to the Company of proof of timely payments, but not later than 30 days after the Executive’s submission of proof of timely payments; provided, however, all such claims for reimbursement shall be submitted by the Executive and paid by the Company no later than 15 months following the termination of the Executive’s employment. Any obligation for the Company to make payments for COBRA reimbursement under this Agreement shall immediately cease when the Executive becomes eligible for health insurance from a subsequent employer, and the Executive shall promptly notify the Company of such subsequent eligibility. If the Executive desires COBRA coverage, the Executive shall bear full responsibility for applying for COBRA coverage and nothing herein shall constitute a guarantee of COBRA benefits. Under no circumstances will the Executive be entitled to a cash payment or other benefit in lieu of reimbursements for the actual costs of premiums for COBRA continuation hereunder. The amount of expenses eligible for reimbursement during any calendar year shall not be affected by the amount of expenses eligible for reimbursement in any other calendar year.</w:t>
      </w:r>
    </w:p>
    <w:p>
      <w:pPr>
        <w:spacing w:after="0" w:line="81" w:lineRule="exact"/>
        <w:rPr>
          <w:rFonts w:ascii="Times New Roman" w:cs="Times New Roman" w:eastAsia="Times New Roman" w:hAnsi="Times New Roman"/>
          <w:sz w:val="18"/>
          <w:szCs w:val="18"/>
          <w:color w:val="auto"/>
        </w:rPr>
      </w:pPr>
    </w:p>
    <w:p>
      <w:pPr>
        <w:ind w:left="1680" w:hanging="309"/>
        <w:spacing w:after="0"/>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 Change in Control shall be deemed to have occurred:</w:t>
      </w:r>
    </w:p>
    <w:p>
      <w:pPr>
        <w:spacing w:after="0" w:line="117" w:lineRule="exact"/>
        <w:rPr>
          <w:rFonts w:ascii="Times New Roman" w:cs="Times New Roman" w:eastAsia="Times New Roman" w:hAnsi="Times New Roman"/>
          <w:sz w:val="18"/>
          <w:szCs w:val="18"/>
          <w:color w:val="auto"/>
        </w:rPr>
      </w:pPr>
    </w:p>
    <w:p>
      <w:pPr>
        <w:ind w:firstLine="1900"/>
        <w:spacing w:after="0" w:line="256" w:lineRule="auto"/>
        <w:tabs>
          <w:tab w:leader="none" w:pos="219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(as such term is used in sections 13(d) and 14(d) of the Securities Exchange Act of 1934) becomes a “beneficial owner” (as defined in Rule 13d-3 under the Securities Exchange Act of 1934), directly or indirectly, of securities of the Company representing more than 50% of the voting power of the then outstanding securities of the Company; provided that a Change in Control shall not be deemed to occur as a result of a transaction in which the Company becomes a subsidiary of another corporation and in which the shareholders of the Company, immediately prior to the transaction, will beneficially own, immediately after the transaction, shares entitling such shareholders to more than 50% of all votes to which all shareholders of the parent corporation would be entitled in the election of directors;</w:t>
      </w:r>
    </w:p>
    <w:p>
      <w:pPr>
        <w:spacing w:after="0" w:line="79" w:lineRule="exact"/>
        <w:rPr>
          <w:rFonts w:ascii="Times New Roman" w:cs="Times New Roman" w:eastAsia="Times New Roman" w:hAnsi="Times New Roman"/>
          <w:sz w:val="18"/>
          <w:szCs w:val="18"/>
          <w:color w:val="auto"/>
        </w:rPr>
      </w:pPr>
    </w:p>
    <w:p>
      <w:pPr>
        <w:ind w:right="80" w:firstLine="1900"/>
        <w:spacing w:after="0" w:line="256" w:lineRule="auto"/>
        <w:tabs>
          <w:tab w:leader="none" w:pos="218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24 consecutive months or less such that a majority of the Board ceases to be comprised of individuals who either (i) have been Board members continuously since the beginning of such period (“</w:t>
      </w:r>
      <w:r>
        <w:rPr>
          <w:rFonts w:ascii="Times New Roman" w:cs="Times New Roman" w:eastAsia="Times New Roman" w:hAnsi="Times New Roman"/>
          <w:sz w:val="18"/>
          <w:szCs w:val="18"/>
          <w:b w:val="1"/>
          <w:bCs w:val="1"/>
          <w:color w:val="auto"/>
        </w:rPr>
        <w:t>Incumbent Directors</w:t>
      </w:r>
      <w:r>
        <w:rPr>
          <w:rFonts w:ascii="Times New Roman" w:cs="Times New Roman" w:eastAsia="Times New Roman" w:hAnsi="Times New Roman"/>
          <w:sz w:val="18"/>
          <w:szCs w:val="18"/>
          <w:color w:val="auto"/>
        </w:rPr>
        <w:t>”) or (ii) have been elected or nominated for election as Board members during such period by at least a majority of the Incumbent Directors who were still in office at the time the Board approved such election or nomination; provided that any individual who becomes a Board member subsequent to the beginning of such period and whose election or nomination was approved by two-thirds of the Board members then comprising the Incumbent Directors will be considered an Incumbent Director; or</w:t>
      </w:r>
    </w:p>
    <w:p>
      <w:pPr>
        <w:sectPr>
          <w:pgSz w:w="11900" w:h="16838" w:orient="portrait"/>
          <w:cols w:equalWidth="0" w:num="1">
            <w:col w:w="10560"/>
          </w:cols>
          <w:pgMar w:left="880" w:top="270" w:right="459" w:bottom="1440" w:gutter="0" w:footer="0" w:header="0"/>
        </w:sectPr>
      </w:pPr>
    </w:p>
    <w:bookmarkStart w:id="20" w:name="page21"/>
    <w:bookmarkEnd w:id="20"/>
    <w:p>
      <w:pPr>
        <w:jc w:val="both"/>
        <w:ind w:left="4" w:right="240" w:firstLine="1900"/>
        <w:spacing w:after="0" w:line="261" w:lineRule="auto"/>
        <w:tabs>
          <w:tab w:leader="none" w:pos="219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consummation of (i) a merger or consolidation of the Company with another corporation where the shareholders of the Company, immediately prior to the merger or consolidation, will not beneficially own, immediately after the merger or consolidation, shares entitling such shareholders to more than 50% of all votes to which all shareholders of the surviving corporation would be entitled in the election of directors, or (ii) a sale or other disposition of all or substantially all of the assets of the Company.</w:t>
      </w:r>
    </w:p>
    <w:p>
      <w:pPr>
        <w:spacing w:after="0" w:line="71" w:lineRule="exact"/>
        <w:rPr>
          <w:rFonts w:ascii="Times New Roman" w:cs="Times New Roman" w:eastAsia="Times New Roman" w:hAnsi="Times New Roman"/>
          <w:sz w:val="18"/>
          <w:szCs w:val="18"/>
          <w:color w:val="auto"/>
        </w:rPr>
      </w:pPr>
    </w:p>
    <w:p>
      <w:pPr>
        <w:ind w:left="1624" w:hanging="249"/>
        <w:spacing w:after="0"/>
        <w:tabs>
          <w:tab w:leader="none" w:pos="16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in no situation will Executive be entitled to benefits under both Section 5(d)(ii) and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5(d)(iii).</w:t>
      </w:r>
    </w:p>
    <w:p>
      <w:pPr>
        <w:spacing w:after="0" w:line="99" w:lineRule="exact"/>
        <w:rPr>
          <w:sz w:val="20"/>
          <w:szCs w:val="20"/>
          <w:color w:val="auto"/>
        </w:rPr>
      </w:pPr>
    </w:p>
    <w:p>
      <w:pPr>
        <w:ind w:left="4" w:firstLine="1371"/>
        <w:spacing w:after="0" w:line="282" w:lineRule="auto"/>
        <w:tabs>
          <w:tab w:leader="none" w:pos="168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above or as otherwise required by law, the Company will have no obligations to Executive in the event of the termination of this Agreement for any reason.</w:t>
      </w:r>
    </w:p>
    <w:p>
      <w:pPr>
        <w:spacing w:after="0" w:line="53" w:lineRule="exact"/>
        <w:rPr>
          <w:rFonts w:ascii="Times New Roman" w:cs="Times New Roman" w:eastAsia="Times New Roman" w:hAnsi="Times New Roman"/>
          <w:sz w:val="18"/>
          <w:szCs w:val="18"/>
          <w:color w:val="auto"/>
        </w:rPr>
      </w:pPr>
    </w:p>
    <w:p>
      <w:pPr>
        <w:ind w:left="4" w:firstLine="1371"/>
        <w:spacing w:after="0" w:line="253" w:lineRule="auto"/>
        <w:tabs>
          <w:tab w:leader="none" w:pos="17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if any payment or benefit provided or to be provided by the Company pursuant to the terms of this Agreement (“</w:t>
      </w:r>
      <w:r>
        <w:rPr>
          <w:rFonts w:ascii="Times New Roman" w:cs="Times New Roman" w:eastAsia="Times New Roman" w:hAnsi="Times New Roman"/>
          <w:sz w:val="18"/>
          <w:szCs w:val="18"/>
          <w:b w:val="1"/>
          <w:bCs w:val="1"/>
          <w:color w:val="auto"/>
        </w:rPr>
        <w:t>Covered Payments</w:t>
      </w:r>
      <w:r>
        <w:rPr>
          <w:rFonts w:ascii="Times New Roman" w:cs="Times New Roman" w:eastAsia="Times New Roman" w:hAnsi="Times New Roman"/>
          <w:sz w:val="18"/>
          <w:szCs w:val="18"/>
          <w:color w:val="auto"/>
        </w:rPr>
        <w:t>”) constitute parachute payments (“</w:t>
      </w:r>
      <w:r>
        <w:rPr>
          <w:rFonts w:ascii="Times New Roman" w:cs="Times New Roman" w:eastAsia="Times New Roman" w:hAnsi="Times New Roman"/>
          <w:sz w:val="18"/>
          <w:szCs w:val="18"/>
          <w:b w:val="1"/>
          <w:bCs w:val="1"/>
          <w:color w:val="auto"/>
        </w:rPr>
        <w:t>Parachute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within the meaning of the Section 280G of the Code (as defined below), the Treasury Regulations and other guidance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by the United States Department of the Treasury, and all state laws of similar effect (collectively, “</w:t>
      </w:r>
      <w:r>
        <w:rPr>
          <w:rFonts w:ascii="Times New Roman" w:cs="Times New Roman" w:eastAsia="Times New Roman" w:hAnsi="Times New Roman"/>
          <w:sz w:val="18"/>
          <w:szCs w:val="18"/>
          <w:b w:val="1"/>
          <w:bCs w:val="1"/>
          <w:color w:val="auto"/>
        </w:rPr>
        <w:t>Section 280G</w:t>
      </w:r>
      <w:r>
        <w:rPr>
          <w:rFonts w:ascii="Times New Roman" w:cs="Times New Roman" w:eastAsia="Times New Roman" w:hAnsi="Times New Roman"/>
          <w:sz w:val="18"/>
          <w:szCs w:val="18"/>
          <w:color w:val="auto"/>
        </w:rPr>
        <w:t>”) and would, but for this section of the Agreement be subject to the excise tax imposed under Section 4999 of the Code (or any successor provision thereto) or any similar tax imposed by state or local law or any interest or penalties with respect to such taxes (collectively,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then prior to making the Covered Payments, a calculation shall be made comparing (i) the Net Benefit (as defined below) of the Covered Payments after payment of the Excise Tax to (ii) the Net Benefit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Times New Roman" w:cs="Times New Roman" w:eastAsia="Times New Roman" w:hAnsi="Times New Roman"/>
          <w:sz w:val="18"/>
          <w:szCs w:val="18"/>
          <w:b w:val="1"/>
          <w:bCs w:val="1"/>
          <w:color w:val="auto"/>
        </w:rPr>
        <w:t>Reduced Amount</w:t>
      </w:r>
      <w:r>
        <w:rPr>
          <w:rFonts w:ascii="Times New Roman" w:cs="Times New Roman" w:eastAsia="Times New Roman" w:hAnsi="Times New Roman"/>
          <w:sz w:val="18"/>
          <w:szCs w:val="18"/>
          <w:color w:val="auto"/>
        </w:rPr>
        <w:t>”). For this purpose, “</w:t>
      </w:r>
      <w:r>
        <w:rPr>
          <w:rFonts w:ascii="Times New Roman" w:cs="Times New Roman" w:eastAsia="Times New Roman" w:hAnsi="Times New Roman"/>
          <w:sz w:val="18"/>
          <w:szCs w:val="18"/>
          <w:b w:val="1"/>
          <w:bCs w:val="1"/>
          <w:color w:val="auto"/>
        </w:rPr>
        <w:t>Net Benefit</w:t>
      </w:r>
      <w:r>
        <w:rPr>
          <w:rFonts w:ascii="Times New Roman" w:cs="Times New Roman" w:eastAsia="Times New Roman" w:hAnsi="Times New Roman"/>
          <w:sz w:val="18"/>
          <w:szCs w:val="18"/>
          <w:color w:val="auto"/>
        </w:rPr>
        <w:t>” shall mean the present value of the Covered Payments net of all federal, state, local, foreign income, employment and excise taxes. Any such reduction shall be made in accordance with Section 409A (as defined below).</w:t>
      </w:r>
    </w:p>
    <w:p>
      <w:pPr>
        <w:spacing w:after="0" w:line="82" w:lineRule="exact"/>
        <w:rPr>
          <w:sz w:val="20"/>
          <w:szCs w:val="20"/>
          <w:color w:val="auto"/>
        </w:rPr>
      </w:pPr>
    </w:p>
    <w:p>
      <w:pPr>
        <w:ind w:left="4" w:right="140" w:firstLine="423"/>
        <w:spacing w:after="0" w:line="274" w:lineRule="auto"/>
        <w:rPr>
          <w:sz w:val="20"/>
          <w:szCs w:val="20"/>
          <w:color w:val="auto"/>
        </w:rPr>
      </w:pPr>
      <w:r>
        <w:rPr>
          <w:rFonts w:ascii="Times New Roman" w:cs="Times New Roman" w:eastAsia="Times New Roman" w:hAnsi="Times New Roman"/>
          <w:sz w:val="17"/>
          <w:szCs w:val="17"/>
          <w:color w:val="auto"/>
        </w:rPr>
        <w:t>Any determination required under this section shall be made in writing in good faith by the accounting firm that was the Company’s independent auditor immediately before the change in control (the “</w:t>
      </w:r>
      <w:r>
        <w:rPr>
          <w:rFonts w:ascii="Times New Roman" w:cs="Times New Roman" w:eastAsia="Times New Roman" w:hAnsi="Times New Roman"/>
          <w:sz w:val="17"/>
          <w:szCs w:val="17"/>
          <w:b w:val="1"/>
          <w:bCs w:val="1"/>
          <w:color w:val="auto"/>
        </w:rPr>
        <w:t>Accountants</w:t>
      </w:r>
      <w:r>
        <w:rPr>
          <w:rFonts w:ascii="Times New Roman" w:cs="Times New Roman" w:eastAsia="Times New Roman" w:hAnsi="Times New Roman"/>
          <w:sz w:val="17"/>
          <w:szCs w:val="17"/>
          <w:color w:val="auto"/>
        </w:rPr>
        <w:t>”) which shall provide detailed supporting calculations to the Company Executive upon reasonable request. The Company and Executive shall provide the Accountants with such information and documents as the Accountants may reasonably request in order to make a determination under this section. For purposes of making the calculations and determinations required by this section, the Accountants may rely on reasonable, good faith assumptions and approximations concerning the application of Section 280G and Section 4999 of the Code. The Accountants’ determinations shall be final and binding on all interested parties.</w:t>
      </w:r>
    </w:p>
    <w:p>
      <w:pPr>
        <w:spacing w:after="0" w:line="173" w:lineRule="exact"/>
        <w:rPr>
          <w:sz w:val="20"/>
          <w:szCs w:val="20"/>
          <w:color w:val="auto"/>
        </w:rPr>
      </w:pPr>
    </w:p>
    <w:p>
      <w:pPr>
        <w:ind w:left="-436" w:right="440" w:firstLine="436"/>
        <w:spacing w:after="0" w:line="282" w:lineRule="auto"/>
        <w:tabs>
          <w:tab w:leader="none" w:pos="27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Amended Section 6</w:t>
      </w:r>
      <w:r>
        <w:rPr>
          <w:rFonts w:ascii="Times New Roman" w:cs="Times New Roman" w:eastAsia="Times New Roman" w:hAnsi="Times New Roman"/>
          <w:sz w:val="18"/>
          <w:szCs w:val="18"/>
          <w:color w:val="auto"/>
        </w:rPr>
        <w:t>. The Company and the Executive hereby agree that Section 6 of the Employment Agreement is hereby replaced and superseded in its entirety by the following amended Section 6:</w:t>
      </w:r>
    </w:p>
    <w:p>
      <w:pPr>
        <w:spacing w:after="0" w:line="53"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0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Notwithstanding any provision of this Agreement to the contrary (other than the last sentence of this Section 6), the Company’s obligation to provide the payments and benefits under Section 5(d)(ii)(B), (C), (D), and (E) and 5(d)(iii)(B), (C), (D), and (E) of this Agreement is conditioned upon the Executive’s timely execution and non-revocation of an enforceable release of claims and his compliance with his obligations under Section 7 of this Agreement. If the Executive chooses not to execute such a release, timely revokes his execution of the release, or fails to comply with his obligations under Section 7 of this Agreement, then the Company’s obligation to compensate him ceases upon the termination of his employment except as to amounts due at the time pursuant to Section 5(d)(ii)(A) and Section 5(d)(iii)(A). The Company shall provide the release of claims to the Executive within 7 days of his separation from service, and the Executive must execute it within the time period specified in the release (which shall not be longer than 45 days from the date of receipt). Such release shall not be effective until any applicable revocation period has expired.</w:t>
      </w:r>
    </w:p>
    <w:p>
      <w:pPr>
        <w:sectPr>
          <w:pgSz w:w="11900" w:h="16838" w:orient="portrait"/>
          <w:cols w:equalWidth="0" w:num="1">
            <w:col w:w="10524"/>
          </w:cols>
          <w:pgMar w:left="876" w:top="270" w:right="499" w:bottom="1440" w:gutter="0" w:footer="0" w:header="0"/>
        </w:sectPr>
      </w:pPr>
    </w:p>
    <w:bookmarkStart w:id="21" w:name="page22"/>
    <w:bookmarkEnd w:id="21"/>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IV. </w:t>
      </w:r>
      <w:r>
        <w:rPr>
          <w:rFonts w:ascii="Times New Roman" w:cs="Times New Roman" w:eastAsia="Times New Roman" w:hAnsi="Times New Roman"/>
          <w:sz w:val="18"/>
          <w:szCs w:val="18"/>
          <w:u w:val="single" w:color="auto"/>
          <w:color w:val="auto"/>
        </w:rPr>
        <w:t>Voluntary Acceptance; No Breach; No Good Reason</w:t>
      </w:r>
      <w:r>
        <w:rPr>
          <w:rFonts w:ascii="Times New Roman" w:cs="Times New Roman" w:eastAsia="Times New Roman" w:hAnsi="Times New Roman"/>
          <w:sz w:val="18"/>
          <w:szCs w:val="18"/>
          <w:color w:val="auto"/>
        </w:rPr>
        <w:t>. The Executive hereby consents to this Amendment, and acknowledges and agrees that his consent to and acceptance of this Amendment is both knowing and voluntary. The Executive further acknowledges and agrees that this Amendment will not constitute or create a breach of any material provision of the Employment Agreement or any grounds for the Executive to terminate his employment with the Company for “Good Reason” in accordance with Subsection 5(b)(ii) of the Employment Agreement.</w:t>
      </w:r>
    </w:p>
    <w:p>
      <w:pPr>
        <w:spacing w:after="0" w:line="180"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Remainder of Employment Agreement</w:t>
      </w:r>
      <w:r>
        <w:rPr>
          <w:rFonts w:ascii="Times New Roman" w:cs="Times New Roman" w:eastAsia="Times New Roman" w:hAnsi="Times New Roman"/>
          <w:sz w:val="18"/>
          <w:szCs w:val="18"/>
          <w:color w:val="auto"/>
        </w:rPr>
        <w:t>. Except as expressly amended by this Amendment, the remaining provisions of the Employment Agreement shall remain in full force and effect, in their entirety, in accordance with their terms.</w:t>
      </w:r>
    </w:p>
    <w:p>
      <w:pPr>
        <w:spacing w:after="0" w:line="16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Except as modified and amended by this Amendment, capitalized terms in this Amendment shall have the meanings as defined by the Employment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As amended by this Amendment, the Employment Agreement is the final, complete and exclusive agreement of the Parties with respect to the subject matter thereof and supersedes and merges all prior discussions and agreements (whether written or oral and whether express or implied) between the Parties to the extent related to such subject matter.</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will be deemed an original but all of which together will constitute one and the same agreement. Facsimile or PDF reproductions of original signatures will be deemed binding for the purpose of the execution of this Amendment.</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No amendment of any provision of this Amendment will be valid unless the amendment is in writing and signed by the Company and the Executive. No waiver of any provision of this Amendment will be valid unless the waiver is in writing and signed by the waiving Party. The failure of a Party at any time to require performance of any provision of this Amendment will not affect such Party’s rights at a later time to enforce such provision. No waiver by a Party of any breach of this Amendment will be deemed to extend to any other breach hereunder or affect in any way any rights arising by virtue of any other breach.</w:t>
      </w:r>
    </w:p>
    <w:p>
      <w:pPr>
        <w:spacing w:after="0" w:line="183"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provision of this Amendment is severable from every other provision of this Amendment. Any provision of this Amendment that is determined by any court of competent jurisdiction to be invalid or unenforceable will not affect the validity or enforceability of any other provision. Any provision of this Amendment held invalid or unenforceable only in part or degree will remain in full force and effect to the extent not held invalid or unenforceable.</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section headings in this Amendment are inserted for convenience only and are not intended to affect the interpretation of this Amendment. The word “including” in this Amendment means “including without limitation.” This Amendment will be construed as if drafted jointly by the Company and the Executive and no presumption or burden of proof will arise favoring or disfavoring the Company or the Executive by virtue of the authorship of any provision in this Amendment. All words in this Amendment will be construed to be of such gender or number as the circumstances require.</w:t>
      </w:r>
    </w:p>
    <w:p>
      <w:pPr>
        <w:spacing w:after="0" w:line="183"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The rights and remedies of the Parties under the Employment Agreement as amended by this Amendment are cumulative (not alternative) and in addition to all other rights and remedies available to such Parties at law, in equity, by contract or otherwise.</w:t>
      </w:r>
    </w:p>
    <w:p>
      <w:pPr>
        <w:sectPr>
          <w:pgSz w:w="11900" w:h="16838" w:orient="portrait"/>
          <w:cols w:equalWidth="0" w:num="1">
            <w:col w:w="11000"/>
          </w:cols>
          <w:pgMar w:left="440" w:top="270" w:right="459" w:bottom="1440" w:gutter="0" w:footer="0" w:header="0"/>
        </w:sectPr>
      </w:pPr>
    </w:p>
    <w:bookmarkStart w:id="22" w:name="page23"/>
    <w:bookmarkEnd w:id="22"/>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 </w:t>
      </w:r>
      <w:r>
        <w:rPr>
          <w:rFonts w:ascii="Times New Roman" w:cs="Times New Roman" w:eastAsia="Times New Roman" w:hAnsi="Times New Roman"/>
          <w:sz w:val="18"/>
          <w:szCs w:val="18"/>
          <w:u w:val="single" w:color="auto"/>
          <w:color w:val="auto"/>
        </w:rPr>
        <w:t>Choice of Law/Choice of Venue/Effect/Assignment.</w:t>
      </w:r>
      <w:r>
        <w:rPr>
          <w:rFonts w:ascii="Times New Roman" w:cs="Times New Roman" w:eastAsia="Times New Roman" w:hAnsi="Times New Roman"/>
          <w:sz w:val="18"/>
          <w:szCs w:val="18"/>
          <w:color w:val="auto"/>
        </w:rPr>
        <w:t xml:space="preserve"> This Amendment shall be interpreted and governed under the laws of the State of North Carolina, without regard to its choice of law rules, and shall be binding on and inure to the respective benefit of the Company and its successors and assigns and the Executive and his personal representatives. The exclusive jurisdiction for any dispute arising under or relating to this Amendment shall be the state or federal courts sitting in Wake County, North Carolina, and each party hereby irrevocably consents to the personal jurisdiction of such courts. The Company shall require any successor (whether direct or indirect, by purchase, merger, consolidation, reorganization or otherwise) to all or substantially all of the business or assets of the Company, within 15 days of such succession, expressly to assume and agree to perform this Amendment in the same manner and to the same extent as the Company would be required to perform if no such succession had taken place. The Executive may not assign this Amendment or delegate his obligations hereunder. As used in this Amendment, “Company” shall mean the Company and any such successor which assumes and agrees to perform the duties and obligations of the Company under this Amendment by operation of law or otherwise.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Immediately Follows]</w:t>
      </w:r>
    </w:p>
    <w:p>
      <w:pPr>
        <w:sectPr>
          <w:pgSz w:w="11900" w:h="16838" w:orient="portrait"/>
          <w:cols w:equalWidth="0" w:num="1">
            <w:col w:w="10960"/>
          </w:cols>
          <w:pgMar w:left="440" w:top="270" w:right="499" w:bottom="1440" w:gutter="0" w:footer="0" w:header="0"/>
        </w:sectPr>
      </w:pPr>
    </w:p>
    <w:bookmarkStart w:id="23" w:name="page24"/>
    <w:bookmarkEnd w:id="23"/>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Amendment to Executive Employment Agreement as of the day and year first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Christopher T. Giordano</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Christopher T. Giordano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Stuart Rich, MD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Stuart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[Signature Page to Amendment to Executive Employment Agreement]</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2">
    <w:nsid w:val="4E6AFB66"/>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3">
    <w:nsid w:val="25E45D32"/>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4">
    <w:nsid w:val="519B500D"/>
    <w:multiLevelType w:val="hybridMultilevel"/>
    <w:lvl w:ilvl="0">
      <w:lvlJc w:val="left"/>
      <w:lvlText w:val="(%1)"/>
      <w:numFmt w:val="upperLetter"/>
      <w:start w:val="5"/>
    </w:lvl>
    <w:lvl w:ilvl="1">
      <w:lvlJc w:val="left"/>
      <w:lvlText w:val="%2"/>
      <w:numFmt w:val="lowerRoman"/>
      <w:start w:val="1"/>
    </w:lvl>
    <w:lvl w:ilvl="2">
      <w:lvlJc w:val="left"/>
      <w:lvlText w:val="(%3)"/>
      <w:numFmt w:val="upperLetter"/>
      <w:start w:val="1"/>
    </w:lvl>
  </w:abstractNum>
  <w:abstractNum w:abstractNumId="5">
    <w:nsid w:val="431BD7B7"/>
    <w:multiLevelType w:val="hybridMultilevel"/>
    <w:lvl w:ilvl="0">
      <w:lvlJc w:val="left"/>
      <w:lvlText w:val="(%1)"/>
      <w:numFmt w:val="lowerRoman"/>
      <w:start w:val="3"/>
    </w:lvl>
    <w:lvl w:ilvl="1">
      <w:lvlJc w:val="left"/>
      <w:lvlText w:val="(%2)"/>
      <w:numFmt w:val="upperLetter"/>
      <w:start w:val="1"/>
    </w:lvl>
  </w:abstractNum>
  <w:abstractNum w:abstractNumId="6">
    <w:nsid w:val="3F2DBA31"/>
    <w:multiLevelType w:val="hybridMultilevel"/>
    <w:lvl w:ilvl="0">
      <w:lvlJc w:val="left"/>
      <w:lvlText w:val="%1"/>
      <w:numFmt w:val="lowerRoman"/>
      <w:start w:val="1"/>
    </w:lvl>
    <w:lvl w:ilvl="1">
      <w:lvlJc w:val="left"/>
      <w:lvlText w:val="(%2)"/>
      <w:numFmt w:val="upperLetter"/>
      <w:start w:val="2"/>
    </w:lvl>
  </w:abstractNum>
  <w:abstractNum w:abstractNumId="7">
    <w:nsid w:val="7C83E458"/>
    <w:multiLevelType w:val="hybridMultilevel"/>
    <w:lvl w:ilvl="0">
      <w:lvlJc w:val="left"/>
      <w:lvlText w:val="(%1)"/>
      <w:numFmt w:val="lowerRoman"/>
      <w:start w:val="4"/>
    </w:lvl>
    <w:lvl w:ilvl="1">
      <w:lvlJc w:val="left"/>
      <w:lvlText w:val="(%2)"/>
      <w:numFmt w:val="upperLetter"/>
      <w:start w:val="1"/>
    </w:lvl>
  </w:abstractNum>
  <w:abstractNum w:abstractNumId="8">
    <w:nsid w:val="257130A3"/>
    <w:multiLevelType w:val="hybridMultilevel"/>
    <w:lvl w:ilvl="0">
      <w:lvlJc w:val="left"/>
      <w:lvlText w:val="%1"/>
      <w:numFmt w:val="lowerRoman"/>
      <w:start w:val="1"/>
    </w:lvl>
    <w:lvl w:ilvl="1">
      <w:lvlJc w:val="left"/>
      <w:lvlText w:val="(%2)"/>
      <w:numFmt w:val="upperLetter"/>
      <w:start w:val="3"/>
    </w:lvl>
  </w:abstractNum>
  <w:abstractNum w:abstractNumId="9">
    <w:nsid w:val="62BBD95A"/>
    <w:multiLevelType w:val="hybridMultilevel"/>
    <w:lvl w:ilvl="0">
      <w:lvlJc w:val="left"/>
      <w:lvlText w:val="(%1)"/>
      <w:numFmt w:val="lowerRoman"/>
      <w:start w:val="5"/>
    </w:lvl>
    <w:lvl w:ilvl="1">
      <w:lvlJc w:val="left"/>
      <w:lvlText w:val="%2"/>
      <w:numFmt w:val="upperLetter"/>
      <w:start w:val="1"/>
    </w:lvl>
  </w:abstractNum>
  <w:abstractNum w:abstractNumId="10">
    <w:nsid w:val="436C6125"/>
    <w:multiLevelType w:val="hybridMultilevel"/>
    <w:lvl w:ilvl="0">
      <w:lvlJc w:val="left"/>
      <w:lvlText w:val="(%1)"/>
      <w:numFmt w:val="lowerRoman"/>
      <w:start w:val="6"/>
    </w:lvl>
  </w:abstractNum>
  <w:abstractNum w:abstractNumId="11">
    <w:nsid w:val="628C895D"/>
    <w:multiLevelType w:val="hybridMultilevel"/>
    <w:lvl w:ilvl="0">
      <w:lvlJc w:val="left"/>
      <w:lvlText w:val="%1."/>
      <w:numFmt w:val="upperLetter"/>
      <w:start w:val="61"/>
    </w:lvl>
    <w:lvl w:ilvl="1">
      <w:lvlJc w:val="left"/>
      <w:lvlText w:val="%2."/>
      <w:numFmt w:val="decimal"/>
      <w:start w:val="6"/>
    </w:lvl>
  </w:abstractNum>
  <w:abstractNum w:abstractNumId="12">
    <w:nsid w:val="333AB10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
    <w:nsid w:val="721DA317"/>
    <w:multiLevelType w:val="hybridMultilevel"/>
    <w:lvl w:ilvl="0">
      <w:lvlJc w:val="left"/>
      <w:lvlText w:val="(%1)"/>
      <w:numFmt w:val="lowerLetter"/>
      <w:start w:val="3"/>
    </w:lvl>
    <w:lvl w:ilvl="1">
      <w:lvlJc w:val="left"/>
      <w:lvlText w:val="(%2)"/>
      <w:numFmt w:val="lowerRoman"/>
      <w:start w:val="1"/>
    </w:lvl>
  </w:abstractNum>
  <w:abstractNum w:abstractNumId="14">
    <w:nsid w:val="2443A858"/>
    <w:multiLevelType w:val="hybridMultilevel"/>
    <w:lvl w:ilvl="0">
      <w:lvlJc w:val="left"/>
      <w:lvlText w:val="(%1)"/>
      <w:numFmt w:val="lowerLetter"/>
      <w:start w:val="4"/>
    </w:lvl>
    <w:lvl w:ilvl="1">
      <w:lvlJc w:val="left"/>
      <w:lvlText w:val="(%2)"/>
      <w:numFmt w:val="lowerRoman"/>
      <w:start w:val="1"/>
    </w:lvl>
  </w:abstractNum>
  <w:abstractNum w:abstractNumId="15">
    <w:nsid w:val="2D1D5AE9"/>
    <w:multiLevelType w:val="hybridMultilevel"/>
    <w:lvl w:ilvl="0">
      <w:lvlJc w:val="left"/>
      <w:lvlText w:val="(%1)"/>
      <w:numFmt w:val="lowerLetter"/>
      <w:start w:val="8"/>
    </w:lvl>
  </w:abstractNum>
  <w:abstractNum w:abstractNumId="16">
    <w:nsid w:val="6763845E"/>
    <w:multiLevelType w:val="hybridMultilevel"/>
    <w:lvl w:ilvl="0">
      <w:lvlJc w:val="left"/>
      <w:lvlText w:val="%1."/>
      <w:numFmt w:val="upperLetter"/>
      <w:start w:val="35"/>
    </w:lvl>
  </w:abstractNum>
  <w:abstractNum w:abstractNumId="17">
    <w:nsid w:val="75A2A8D4"/>
    <w:multiLevelType w:val="hybridMultilevel"/>
    <w:lvl w:ilvl="0">
      <w:lvlJc w:val="left"/>
      <w:lvlText w:val="%1."/>
      <w:numFmt w:val="upperLetter"/>
      <w:start w:val="61"/>
    </w:lvl>
  </w:abstractNum>
  <w:abstractNum w:abstractNumId="18">
    <w:nsid w:val="8EDBDAB"/>
    <w:multiLevelType w:val="hybridMultilevel"/>
    <w:lvl w:ilvl="0">
      <w:lvlJc w:val="left"/>
      <w:lvlText w:val="%1."/>
      <w:numFmt w:val="upperLetter"/>
      <w:start w:val="22"/>
    </w:lvl>
    <w:lvl w:ilvl="1">
      <w:lvlJc w:val="left"/>
      <w:lvlText w:val="%2."/>
      <w:numFmt w:val="lowerLetter"/>
      <w:start w:val="1"/>
    </w:lvl>
  </w:abstractNum>
  <w:abstractNum w:abstractNumId="19">
    <w:nsid w:val="79838CB2"/>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20">
    <w:nsid w:val="4353D0CD"/>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abstractNum>
  <w:abstractNum w:abstractNumId="21">
    <w:nsid w:val="B03E0C6"/>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2">
    <w:nsid w:val="189A769B"/>
    <w:multiLevelType w:val="hybridMultilevel"/>
    <w:lvl w:ilvl="0">
      <w:lvlJc w:val="left"/>
      <w:lvlText w:val="(%1)"/>
      <w:numFmt w:val="upperLetter"/>
      <w:start w:val="5"/>
    </w:lvl>
    <w:lvl w:ilvl="1">
      <w:lvlJc w:val="left"/>
      <w:lvlText w:val="%2"/>
      <w:numFmt w:val="lowerRoman"/>
      <w:start w:val="1"/>
    </w:lvl>
    <w:lvl w:ilvl="2">
      <w:lvlJc w:val="left"/>
      <w:lvlText w:val="(%3)"/>
      <w:numFmt w:val="upperLetter"/>
      <w:start w:val="1"/>
    </w:lvl>
  </w:abstractNum>
  <w:abstractNum w:abstractNumId="23">
    <w:nsid w:val="54E49EB4"/>
    <w:multiLevelType w:val="hybridMultilevel"/>
    <w:lvl w:ilvl="0">
      <w:lvlJc w:val="left"/>
      <w:lvlText w:val="(%1)"/>
      <w:numFmt w:val="lowerRoman"/>
      <w:start w:val="3"/>
    </w:lvl>
    <w:lvl w:ilvl="1">
      <w:lvlJc w:val="left"/>
      <w:lvlText w:val="(%2)"/>
      <w:numFmt w:val="upperLetter"/>
      <w:start w:val="1"/>
    </w:lvl>
  </w:abstractNum>
  <w:abstractNum w:abstractNumId="24">
    <w:nsid w:val="71F32454"/>
    <w:multiLevelType w:val="hybridMultilevel"/>
    <w:lvl w:ilvl="0">
      <w:lvlJc w:val="left"/>
      <w:lvlText w:val="%1"/>
      <w:numFmt w:val="lowerRoman"/>
      <w:start w:val="1"/>
    </w:lvl>
    <w:lvl w:ilvl="1">
      <w:lvlJc w:val="left"/>
      <w:lvlText w:val="(%2)"/>
      <w:numFmt w:val="upperLetter"/>
      <w:start w:val="2"/>
    </w:lvl>
  </w:abstractNum>
  <w:abstractNum w:abstractNumId="25">
    <w:nsid w:val="2CA88611"/>
    <w:multiLevelType w:val="hybridMultilevel"/>
    <w:lvl w:ilvl="0">
      <w:lvlJc w:val="left"/>
      <w:lvlText w:val="(%1)"/>
      <w:numFmt w:val="lowerRoman"/>
      <w:start w:val="4"/>
    </w:lvl>
    <w:lvl w:ilvl="1">
      <w:lvlJc w:val="left"/>
      <w:lvlText w:val="(%2)"/>
      <w:numFmt w:val="upperLetter"/>
      <w:start w:val="1"/>
    </w:lvl>
  </w:abstractNum>
  <w:abstractNum w:abstractNumId="26">
    <w:nsid w:val="836C40E"/>
    <w:multiLevelType w:val="hybridMultilevel"/>
    <w:lvl w:ilvl="0">
      <w:lvlJc w:val="left"/>
      <w:lvlText w:val="%1"/>
      <w:numFmt w:val="lowerRoman"/>
      <w:start w:val="1"/>
    </w:lvl>
    <w:lvl w:ilvl="1">
      <w:lvlJc w:val="left"/>
      <w:lvlText w:val="(%2)"/>
      <w:numFmt w:val="upperLetter"/>
      <w:start w:val="3"/>
    </w:lvl>
  </w:abstractNum>
  <w:abstractNum w:abstractNumId="27">
    <w:nsid w:val="2901D82"/>
    <w:multiLevelType w:val="hybridMultilevel"/>
    <w:lvl w:ilvl="0">
      <w:lvlJc w:val="left"/>
      <w:lvlText w:val="(%1)"/>
      <w:numFmt w:val="lowerRoman"/>
      <w:start w:val="5"/>
    </w:lvl>
    <w:lvl w:ilvl="1">
      <w:lvlJc w:val="left"/>
      <w:lvlText w:val="%2"/>
      <w:numFmt w:val="upperLetter"/>
      <w:start w:val="1"/>
    </w:lvl>
  </w:abstractNum>
  <w:abstractNum w:abstractNumId="28">
    <w:nsid w:val="3A95F874"/>
    <w:multiLevelType w:val="hybridMultilevel"/>
    <w:lvl w:ilvl="0">
      <w:lvlJc w:val="left"/>
      <w:lvlText w:val="(%1)"/>
      <w:numFmt w:val="lowerRoman"/>
      <w:start w:val="6"/>
    </w:lvl>
  </w:abstractNum>
  <w:abstractNum w:abstractNumId="29">
    <w:nsid w:val="8138641"/>
    <w:multiLevelType w:val="hybridMultilevel"/>
    <w:lvl w:ilvl="0">
      <w:lvlJc w:val="left"/>
      <w:lvlText w:val="%1."/>
      <w:numFmt w:val="upperLetter"/>
      <w:start w:val="61"/>
    </w:lvl>
    <w:lvl w:ilvl="1">
      <w:lvlJc w:val="left"/>
      <w:lvlText w:val="%2."/>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2026-06-29T16:24:03Z</dcterms:created>
  <dcterms:modified xsi:type="dcterms:W3CDTF">2026-06-29T16:24:03Z</dcterms:modified>
</cp:coreProperties>
</file>