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300"/>
        <w:spacing w:after="0"/>
        <w:tabs>
          <w:tab w:leader="none" w:pos="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4375150</wp:posOffset>
            </wp:positionH>
            <wp:positionV relativeFrom="paragraph">
              <wp:posOffset>-7620</wp:posOffset>
            </wp:positionV>
            <wp:extent cx="17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-7620</wp:posOffset>
            </wp:positionV>
            <wp:extent cx="171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001-34600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420" w:type="dxa"/>
            <w:vAlign w:val="bottom"/>
            <w:gridSpan w:val="2"/>
          </w:tcPr>
          <w:p>
            <w:pPr>
              <w:jc w:val="right"/>
              <w:ind w:right="1710"/>
              <w:spacing w:after="0"/>
              <w:rPr>
                <w:sz w:val="20"/>
                <w:szCs w:val="20"/>
                <w:color w:val="auto"/>
              </w:rPr>
            </w:pPr>
            <w:r>
              <w:rPr>
                <w:rFonts w:ascii="Arial" w:cs="Arial" w:eastAsia="Arial" w:hAnsi="Arial"/>
                <w:sz w:val="18"/>
                <w:szCs w:val="18"/>
                <w:b w:val="1"/>
                <w:bCs w:val="1"/>
                <w:color w:val="auto"/>
              </w:rPr>
              <w:t>26-2593535</w:t>
            </w:r>
          </w:p>
        </w:tc>
      </w:tr>
      <w:tr>
        <w:trPr>
          <w:trHeight w:val="228"/>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of incorporation)</w:t>
            </w:r>
          </w:p>
        </w:tc>
        <w:tc>
          <w:tcPr>
            <w:tcW w:w="96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Copley Parkway, Suite 490, Morrisville, NC 27560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(919) 855-2100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r>
        <w:trPr>
          <w:trHeight w:val="237"/>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TENX</w:t>
            </w:r>
          </w:p>
        </w:tc>
        <w:tc>
          <w:tcPr>
            <w:tcW w:w="3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60" w:firstLine="60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607"/>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firstLine="60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82" w:lineRule="exact"/>
        <w:rPr>
          <w:sz w:val="24"/>
          <w:szCs w:val="24"/>
          <w:color w:val="auto"/>
        </w:rPr>
      </w:pPr>
    </w:p>
    <w:p>
      <w:pPr>
        <w:ind w:right="100" w:firstLine="41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20"/>
        <w:spacing w:after="0" w:line="207" w:lineRule="exact"/>
        <w:tabs>
          <w:tab w:leader="none" w:pos="9400" w:val="left"/>
        </w:tabs>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August 8, 2022 the registrant had outstanding 25,206,914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340" w:type="dxa"/>
            <w:vAlign w:val="bottom"/>
            <w:gridSpan w:val="9"/>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9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9"/>
            <w:vMerge w:val="continue"/>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Item 1.</w:t>
            </w:r>
          </w:p>
        </w:tc>
        <w:tc>
          <w:tcPr>
            <w:tcW w:w="64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Financial Statements</w:t>
            </w:r>
          </w:p>
        </w:tc>
        <w:tc>
          <w:tcPr>
            <w:tcW w:w="582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180" w:type="dxa"/>
            <w:vAlign w:val="bottom"/>
            <w:gridSpan w:val="7"/>
          </w:tcPr>
          <w:p>
            <w:pPr>
              <w:spacing w:after="0" w:line="176" w:lineRule="exact"/>
              <w:rPr>
                <w:sz w:val="20"/>
                <w:szCs w:val="20"/>
                <w:color w:val="auto"/>
              </w:rPr>
            </w:pPr>
            <w:r>
              <w:rPr>
                <w:rFonts w:ascii="Arial" w:cs="Arial" w:eastAsia="Arial" w:hAnsi="Arial"/>
                <w:sz w:val="18"/>
                <w:szCs w:val="18"/>
                <w:color w:val="0000EE"/>
              </w:rPr>
              <w:t>Condensed Consolidated Balance Sheets as of June 30, 2022 (Unaudited) and December 31, 2021</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70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1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Comprehensive Loss (Unaudited) for the Three and Six Months Ended June 30, 2022</w:t>
            </w: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7"/>
              </w:rPr>
              <w:t>and 2021</w:t>
            </w:r>
          </w:p>
        </w:tc>
        <w:tc>
          <w:tcPr>
            <w:tcW w:w="834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40" w:type="dxa"/>
            <w:vAlign w:val="bottom"/>
            <w:tcBorders>
              <w:bottom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0"/>
              </w:rPr>
              <w:t>Condensed Consolidated Statements of Stockholders’ Equity (Unaudited) for the Three and Six Months Ended June 30, 2022</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91" w:orient="portrait"/>
          <w:cols w:equalWidth="0" w:num="1">
            <w:col w:w="11240"/>
          </w:cols>
          <w:pgMar w:left="320" w:top="891"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40" w:type="dxa"/>
            <w:vAlign w:val="bottom"/>
            <w:gridSpan w:val="11"/>
          </w:tcPr>
          <w:p>
            <w:pPr>
              <w:spacing w:after="0"/>
              <w:rPr>
                <w:sz w:val="20"/>
                <w:szCs w:val="20"/>
                <w:color w:val="auto"/>
              </w:rPr>
            </w:pPr>
            <w:r>
              <w:rPr>
                <w:rFonts w:ascii="Arial" w:cs="Arial" w:eastAsia="Arial" w:hAnsi="Arial"/>
                <w:sz w:val="18"/>
                <w:szCs w:val="18"/>
                <w:color w:val="0000EE"/>
              </w:rPr>
              <w:t>and 2021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5"/>
              </w:rPr>
              <w:t>Condensed Consolidated Statements of Cash Flows (Unaudited) for the Six Months Ended June 30, 2022 and 2021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540" w:type="dxa"/>
            <w:vAlign w:val="bottom"/>
            <w:tcBorders>
              <w:top w:val="single" w:sz="8" w:color="0000EE"/>
            </w:tcBorders>
            <w:gridSpan w:val="11"/>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1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90"/>
              </w:rPr>
              <w:t>Item 2.</w:t>
            </w:r>
          </w:p>
        </w:tc>
        <w:tc>
          <w:tcPr>
            <w:tcW w:w="640" w:type="dxa"/>
            <w:vAlign w:val="bottom"/>
            <w:gridSpan w:val="2"/>
            <w:shd w:val="clear" w:color="auto" w:fill="CCEEFF"/>
          </w:tcPr>
          <w:p>
            <w:pPr>
              <w:spacing w:after="0"/>
              <w:rPr>
                <w:sz w:val="17"/>
                <w:szCs w:val="17"/>
                <w:color w:val="auto"/>
              </w:rPr>
            </w:pPr>
          </w:p>
        </w:tc>
        <w:tc>
          <w:tcPr>
            <w:tcW w:w="754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90"/>
              </w:rPr>
              <w:t>Item 3.</w:t>
            </w:r>
          </w:p>
        </w:tc>
        <w:tc>
          <w:tcPr>
            <w:tcW w:w="64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0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Item 4.</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576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700" w:type="dxa"/>
            <w:vAlign w:val="bottom"/>
            <w:gridSpan w:val="14"/>
          </w:tcPr>
          <w:p>
            <w:pPr>
              <w:spacing w:after="0"/>
              <w:rPr>
                <w:sz w:val="20"/>
                <w:szCs w:val="20"/>
                <w:color w:val="auto"/>
              </w:rPr>
            </w:pPr>
            <w:r>
              <w:rPr>
                <w:rFonts w:ascii="Arial" w:cs="Arial" w:eastAsia="Arial" w:hAnsi="Arial"/>
                <w:sz w:val="18"/>
                <w:szCs w:val="18"/>
                <w:b w:val="1"/>
                <w:bCs w:val="1"/>
                <w:color w:val="0000EE"/>
              </w:rPr>
              <w:t>PART II. OTHER INFORMATION</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90"/>
              </w:rPr>
              <w:t>Item 1.</w:t>
            </w:r>
          </w:p>
        </w:tc>
        <w:tc>
          <w:tcPr>
            <w:tcW w:w="640" w:type="dxa"/>
            <w:vAlign w:val="bottom"/>
            <w:gridSpan w:val="2"/>
            <w:shd w:val="clear" w:color="auto" w:fill="CCEEFF"/>
          </w:tcPr>
          <w:p>
            <w:pPr>
              <w:spacing w:after="0"/>
              <w:rPr>
                <w:sz w:val="15"/>
                <w:szCs w:val="15"/>
                <w:color w:val="auto"/>
              </w:rPr>
            </w:pPr>
          </w:p>
        </w:tc>
        <w:tc>
          <w:tcPr>
            <w:tcW w:w="754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gridSpan w:val="3"/>
          </w:tcPr>
          <w:p>
            <w:pPr>
              <w:spacing w:after="0" w:line="176" w:lineRule="exact"/>
              <w:rPr>
                <w:sz w:val="20"/>
                <w:szCs w:val="20"/>
                <w:color w:val="auto"/>
              </w:rPr>
            </w:pPr>
            <w:r>
              <w:rPr>
                <w:rFonts w:ascii="Arial" w:cs="Arial" w:eastAsia="Arial" w:hAnsi="Arial"/>
                <w:sz w:val="18"/>
                <w:szCs w:val="18"/>
                <w:color w:val="0000EE"/>
              </w:rPr>
              <w:t>Item 1A.</w:t>
            </w:r>
          </w:p>
        </w:tc>
        <w:tc>
          <w:tcPr>
            <w:tcW w:w="7540" w:type="dxa"/>
            <w:vAlign w:val="bottom"/>
            <w:gridSpan w:val="11"/>
          </w:tcPr>
          <w:p>
            <w:pPr>
              <w:spacing w:after="0" w:line="176" w:lineRule="exact"/>
              <w:rPr>
                <w:sz w:val="20"/>
                <w:szCs w:val="20"/>
                <w:color w:val="auto"/>
              </w:rPr>
            </w:pPr>
            <w:r>
              <w:rPr>
                <w:rFonts w:ascii="Arial" w:cs="Arial" w:eastAsia="Arial" w:hAnsi="Arial"/>
                <w:sz w:val="18"/>
                <w:szCs w:val="18"/>
                <w:color w:val="0000EE"/>
              </w:rPr>
              <w:t>Risk Factors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Item 2.</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318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gridSpan w:val="3"/>
          </w:tcPr>
          <w:p>
            <w:pPr>
              <w:spacing w:after="0" w:line="176" w:lineRule="exact"/>
              <w:rPr>
                <w:sz w:val="20"/>
                <w:szCs w:val="20"/>
                <w:color w:val="auto"/>
              </w:rPr>
            </w:pPr>
            <w:r>
              <w:rPr>
                <w:rFonts w:ascii="Arial" w:cs="Arial" w:eastAsia="Arial" w:hAnsi="Arial"/>
                <w:sz w:val="18"/>
                <w:szCs w:val="18"/>
                <w:color w:val="0000EE"/>
              </w:rPr>
              <w:t>Item 6.</w:t>
            </w:r>
          </w:p>
        </w:tc>
        <w:tc>
          <w:tcPr>
            <w:tcW w:w="7540" w:type="dxa"/>
            <w:vAlign w:val="bottom"/>
            <w:gridSpan w:val="11"/>
          </w:tcPr>
          <w:p>
            <w:pPr>
              <w:spacing w:after="0" w:line="176" w:lineRule="exact"/>
              <w:rPr>
                <w:sz w:val="20"/>
                <w:szCs w:val="20"/>
                <w:color w:val="auto"/>
              </w:rPr>
            </w:pPr>
            <w:r>
              <w:rPr>
                <w:rFonts w:ascii="Arial" w:cs="Arial" w:eastAsia="Arial" w:hAnsi="Arial"/>
                <w:sz w:val="18"/>
                <w:szCs w:val="18"/>
                <w:color w:val="0000EE"/>
              </w:rPr>
              <w:t>Exhibits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b w:val="1"/>
                <w:bCs w:val="1"/>
                <w:color w:val="0000EE"/>
                <w:w w:val="96"/>
              </w:rPr>
              <w:t>SIGNATURES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9"/>
          </w:tcPr>
          <w:p>
            <w:pPr>
              <w:jc w:val="center"/>
              <w:ind w:left="3910"/>
              <w:spacing w:after="0"/>
              <w:rPr>
                <w:sz w:val="20"/>
                <w:szCs w:val="20"/>
                <w:color w:val="auto"/>
              </w:rPr>
            </w:pPr>
            <w:r>
              <w:rPr>
                <w:rFonts w:ascii="Arial" w:cs="Arial" w:eastAsia="Arial" w:hAnsi="Arial"/>
                <w:sz w:val="18"/>
                <w:szCs w:val="18"/>
                <w:color w:val="auto"/>
                <w:w w:val="79"/>
              </w:rPr>
              <w:t>2</w:t>
            </w:r>
          </w:p>
        </w:tc>
        <w:tc>
          <w:tcPr>
            <w:tcW w:w="1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4"/>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700" w:type="dxa"/>
            <w:vAlign w:val="bottom"/>
            <w:gridSpan w:val="14"/>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June 30, 2022</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60" w:type="dxa"/>
            <w:vAlign w:val="bottom"/>
            <w:gridSpan w:val="4"/>
            <w:vMerge w:val="restart"/>
          </w:tcPr>
          <w:p>
            <w:pPr>
              <w:jc w:val="center"/>
              <w:ind w:right="304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gridSpan w:val="3"/>
            <w:vMerge w:val="restart"/>
          </w:tcPr>
          <w:p>
            <w:pPr>
              <w:spacing w:after="0"/>
              <w:rPr>
                <w:sz w:val="20"/>
                <w:szCs w:val="20"/>
                <w:color w:val="auto"/>
              </w:rPr>
            </w:pPr>
            <w:r>
              <w:rPr>
                <w:rFonts w:ascii="Arial" w:cs="Arial" w:eastAsia="Arial" w:hAnsi="Arial"/>
                <w:sz w:val="18"/>
                <w:szCs w:val="18"/>
                <w:color w:val="auto"/>
                <w:w w:val="97"/>
              </w:rPr>
              <w:t>Current assets</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7,229,179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872,363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gridSpan w:val="14"/>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8,101,542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5,689,000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4"/>
          </w:tcPr>
          <w:p>
            <w:pPr>
              <w:spacing w:after="0"/>
              <w:rPr>
                <w:sz w:val="20"/>
                <w:szCs w:val="20"/>
                <w:color w:val="auto"/>
              </w:rPr>
            </w:pPr>
            <w:r>
              <w:rPr>
                <w:rFonts w:ascii="Arial" w:cs="Arial" w:eastAsia="Arial" w:hAnsi="Arial"/>
                <w:sz w:val="18"/>
                <w:szCs w:val="18"/>
                <w:color w:val="auto"/>
              </w:rPr>
              <w:t>Right of use asset</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234,662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10,844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8,355,483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620" w:type="dxa"/>
            <w:vAlign w:val="bottom"/>
            <w:tcBorders>
              <w:top w:val="single" w:sz="8" w:color="CCEEFF"/>
            </w:tcBorders>
            <w:gridSpan w:val="7"/>
          </w:tcPr>
          <w:p>
            <w:pPr>
              <w:jc w:val="center"/>
              <w:ind w:right="21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gridSpan w:val="1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919,384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434,539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704,340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ind w:left="360"/>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91,875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gridSpan w:val="14"/>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1,445,798</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1,563,978</w:t>
            </w: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125,883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gridSpan w:val="14"/>
            <w:shd w:val="clear" w:color="auto" w:fill="CCEEFF"/>
          </w:tcPr>
          <w:p>
            <w:pPr>
              <w:ind w:left="180"/>
              <w:spacing w:after="0"/>
              <w:rPr>
                <w:sz w:val="20"/>
                <w:szCs w:val="20"/>
                <w:color w:val="auto"/>
              </w:rPr>
            </w:pPr>
            <w:r>
              <w:rPr>
                <w:rFonts w:ascii="Arial" w:cs="Arial" w:eastAsia="Arial" w:hAnsi="Arial"/>
                <w:sz w:val="18"/>
                <w:szCs w:val="18"/>
                <w:color w:val="auto"/>
              </w:rPr>
              <w:t>Total long 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125,883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183,589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1,571,681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1,747,567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Arial" w:cs="Arial" w:eastAsia="Arial" w:hAnsi="Arial"/>
                <w:sz w:val="18"/>
                <w:szCs w:val="18"/>
                <w:color w:val="auto"/>
              </w:rPr>
              <w:t>Commitments and contingencies; see Note 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Arial" w:cs="Arial" w:eastAsia="Arial" w:hAnsi="Arial"/>
                <w:sz w:val="18"/>
                <w:szCs w:val="18"/>
                <w:color w:val="auto"/>
              </w:rPr>
              <w:t>Preferred stock, undesignated, authorized 4,818,654 shares; See Note 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gridSpan w:val="14"/>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A Preferred stock, par value $0.0001, issued 5,181,346 shares; outstanding 210, as of June 30, 2022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December 31, 2021, respectively</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00" w:type="dxa"/>
            <w:vAlign w:val="bottom"/>
            <w:gridSpan w:val="14"/>
          </w:tcPr>
          <w:p>
            <w:pPr>
              <w:spacing w:after="0" w:line="201" w:lineRule="exact"/>
              <w:rPr>
                <w:sz w:val="20"/>
                <w:szCs w:val="20"/>
                <w:color w:val="auto"/>
              </w:rPr>
            </w:pPr>
            <w:r>
              <w:rPr>
                <w:rFonts w:ascii="Arial" w:cs="Arial" w:eastAsia="Arial" w:hAnsi="Arial"/>
                <w:sz w:val="18"/>
                <w:szCs w:val="18"/>
                <w:color w:val="auto"/>
                <w:w w:val="91"/>
              </w:rPr>
              <w:t>Common stock, par value $0.0001 per share; authorized 400,000,000 shares; issued and outstanding 25,206,914, as of</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14"/>
          </w:tcPr>
          <w:p>
            <w:pPr>
              <w:spacing w:after="0"/>
              <w:rPr>
                <w:sz w:val="20"/>
                <w:szCs w:val="20"/>
                <w:color w:val="auto"/>
              </w:rPr>
            </w:pPr>
            <w:r>
              <w:rPr>
                <w:rFonts w:ascii="Arial" w:cs="Arial" w:eastAsia="Arial" w:hAnsi="Arial"/>
                <w:sz w:val="18"/>
                <w:szCs w:val="18"/>
                <w:color w:val="auto"/>
              </w:rPr>
              <w:t>June 30, 2022 and December 31, 2021, respectively</w:t>
            </w: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2,521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290,858,023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282,736,332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w w:val="92"/>
              </w:rPr>
              <w:t>(284,076,742)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(278,494,185)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6,783,802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4,244,668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4"/>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8,355,483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5,992,235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25" w:lineRule="exact"/>
        <w:rPr>
          <w:sz w:val="20"/>
          <w:szCs w:val="20"/>
          <w:color w:val="auto"/>
        </w:rPr>
      </w:pPr>
    </w:p>
    <w:p>
      <w:pPr>
        <w:ind w:left="6140"/>
        <w:spacing w:after="0"/>
        <w:tabs>
          <w:tab w:leader="none" w:pos="8880" w:val="left"/>
        </w:tabs>
        <w:rPr>
          <w:sz w:val="20"/>
          <w:szCs w:val="20"/>
          <w:color w:val="auto"/>
        </w:rPr>
      </w:pPr>
      <w:r>
        <w:rPr>
          <w:rFonts w:ascii="Arial" w:cs="Arial" w:eastAsia="Arial" w:hAnsi="Arial"/>
          <w:sz w:val="18"/>
          <w:szCs w:val="18"/>
          <w:b w:val="1"/>
          <w:bCs w:val="1"/>
          <w:color w:val="auto"/>
        </w:rPr>
        <w:t>Three months ended June 30,</w:t>
      </w:r>
      <w:r>
        <w:rPr>
          <w:sz w:val="20"/>
          <w:szCs w:val="20"/>
          <w:color w:val="auto"/>
        </w:rPr>
        <w:tab/>
      </w:r>
      <w:r>
        <w:rPr>
          <w:rFonts w:ascii="Arial" w:cs="Arial" w:eastAsia="Arial" w:hAnsi="Arial"/>
          <w:sz w:val="15"/>
          <w:szCs w:val="15"/>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2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28"/>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1,337,427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2,878,171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2,644,738</w:t>
            </w: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1,524,465</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693,222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2,702,360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23,069,424</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2,861,892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5,580,531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25,714,162</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2,861,892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5,580,531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25,714,162</w:t>
            </w:r>
          </w:p>
        </w:tc>
      </w:tr>
      <w:tr>
        <w:trPr>
          <w:trHeight w:val="216"/>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(2,355)</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(247,820)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(249,955)</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5,582,557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25,465,156</w:t>
            </w:r>
          </w:p>
        </w:tc>
      </w:tr>
      <w:tr>
        <w:trPr>
          <w:trHeight w:val="197"/>
        </w:trPr>
        <w:tc>
          <w:tcPr>
            <w:tcW w:w="60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2,861,021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1,716,888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5,582,557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25,465,360</w:t>
            </w:r>
          </w:p>
        </w:tc>
      </w:tr>
      <w:tr>
        <w:trPr>
          <w:trHeight w:val="20"/>
        </w:trPr>
        <w:tc>
          <w:tcPr>
            <w:tcW w:w="6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common shares outstanding, basic and diluted</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25,206,914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17,218,103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25,206,914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15,874,062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restart"/>
          </w:tcPr>
          <w:p>
            <w:pPr>
              <w:jc w:val="right"/>
              <w:ind w:right="58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other</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Number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comprehensive</w:t>
            </w: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Accumulated</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of Shares</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gain (loss)</w:t>
            </w:r>
          </w:p>
        </w:tc>
        <w:tc>
          <w:tcPr>
            <w:tcW w:w="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12,619,369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$ 250,644,197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(246,019,827)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4,625,562</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Common stock and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preferred stock issued for</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asset acquisition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10,232</w:t>
            </w:r>
          </w:p>
        </w:tc>
        <w:tc>
          <w:tcPr>
            <w:tcW w:w="5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1,892,905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21,582,141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21,582,331</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91,609</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457,038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544,605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544,651</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(23,748,140)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(23,748,140)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10,442</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14,969,312</w:t>
            </w:r>
          </w:p>
        </w:tc>
        <w:tc>
          <w:tcPr>
            <w:tcW w:w="3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1,497</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$ 272,862,552</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(402)</w:t>
            </w:r>
          </w:p>
        </w:tc>
        <w:tc>
          <w:tcPr>
            <w:tcW w:w="1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(269,767,967)</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3,095,681</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2021</w:t>
            </w:r>
          </w:p>
        </w:tc>
        <w:tc>
          <w:tcPr>
            <w:tcW w:w="98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Common stock issued for</w:t>
            </w: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(10,232)</w:t>
            </w:r>
          </w:p>
        </w:tc>
        <w:tc>
          <w:tcPr>
            <w:tcW w:w="5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10,232,000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92,339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92,339</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Unrealized loss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(1,717,016)</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25,201,312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$ 272,953,869</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(274)</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(271,484,983)</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1,471,132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25,206,914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$ 282,736,332</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 (278,494,185)</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4,244,668</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83,069</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(2,721,536)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(2,721,536)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March 31,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25,206,914</w:t>
            </w:r>
          </w:p>
        </w:tc>
        <w:tc>
          <w:tcPr>
            <w:tcW w:w="3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2,521</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$ 282,819,401</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(281,215,721)</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1,606,201</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2022</w:t>
            </w:r>
          </w:p>
        </w:tc>
        <w:tc>
          <w:tcPr>
            <w:tcW w:w="98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Pre-fiunded warrants and</w:t>
            </w: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warrants sold, net of</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offering costs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7,928,591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7,928,591</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110,031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(2,861,021)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(2,861,021)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25,206,914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$ 290,858,023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 (284,076,742)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6,783,802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3" w:name="page4"/>
    <w:bookmarkEnd w:id="3"/>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TENAX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28"/>
        </w:trPr>
        <w:tc>
          <w:tcPr>
            <w:tcW w:w="12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(5,582,557)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(25,465,156)</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Interest on debt instrument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right of use asset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53,859</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Gain on debt settlement and extinguishment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(247,233)</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and vesting of compensatory stock options and warrants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183,948</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 and preferred stock for asset acquisition</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21,582,331</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premium on marketable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6,896</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prepaid expenses and 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(771,355)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(267,284)</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(210,056)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(923,295)</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 term portion of lease liability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6,720</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(6,368,886)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(5,066,239)</w:t>
            </w:r>
          </w:p>
        </w:tc>
      </w:tr>
      <w:tr>
        <w:trPr>
          <w:trHeight w:val="216"/>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290,184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(345,540)</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(1,875)</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(57,231)</w:t>
            </w:r>
          </w:p>
        </w:tc>
      </w:tr>
      <w:tr>
        <w:trPr>
          <w:trHeight w:val="216"/>
        </w:trPr>
        <w:tc>
          <w:tcPr>
            <w:tcW w:w="12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warrants and pre-funded warrants, net of issuance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7,928,591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the issuance of note payable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364,546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on short-term note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(272,671)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544,651</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8,020,466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544,651</w:t>
            </w:r>
          </w:p>
        </w:tc>
      </w:tr>
      <w:tr>
        <w:trPr>
          <w:trHeight w:val="216"/>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1,645,257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(4,578,819)</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5,583,922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6,250,241</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7,229,179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1,671,422</w:t>
            </w:r>
          </w:p>
        </w:tc>
      </w:tr>
      <w:tr>
        <w:trPr>
          <w:trHeight w:val="197"/>
        </w:trPr>
        <w:tc>
          <w:tcPr>
            <w:tcW w:w="1280" w:type="dxa"/>
            <w:vAlign w:val="bottom"/>
            <w:tcBorders>
              <w:top w:val="single" w:sz="8" w:color="CCEEFF"/>
            </w:tcBorders>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Addition to right of use asset obtained from new operating lease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333,779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November 13, 2013, the Company acquired, through its wholly-owned subsidiary, Life Newco, Inc., a Delaware corporation (“Life Newco”), certain assets of Phyxius Pharma, Inc., a Delaware corporation (“Phyxius”) pursuant to an Asset Purchase Agreement dated October 21, 2013 (the “Asset Purchase</w:t>
      </w:r>
    </w:p>
    <w:p>
      <w:pPr>
        <w:sectPr>
          <w:pgSz w:w="11900" w:h="16969" w:orient="portrait"/>
          <w:cols w:equalWidth="0" w:num="1">
            <w:col w:w="11240"/>
          </w:cols>
          <w:pgMar w:left="320" w:top="125" w:right="339" w:bottom="0" w:gutter="0" w:footer="0" w:header="0"/>
        </w:sectPr>
      </w:pPr>
    </w:p>
    <w:bookmarkStart w:id="4" w:name="page5"/>
    <w:bookmarkEnd w:id="4"/>
    <w:p>
      <w:pPr>
        <w:ind w:right="20"/>
        <w:spacing w:after="0" w:line="287" w:lineRule="auto"/>
        <w:rPr>
          <w:sz w:val="20"/>
          <w:szCs w:val="20"/>
          <w:color w:val="auto"/>
        </w:rPr>
      </w:pPr>
      <w:r>
        <w:rPr>
          <w:rFonts w:ascii="Arial" w:cs="Arial" w:eastAsia="Arial" w:hAnsi="Arial"/>
          <w:sz w:val="16"/>
          <w:szCs w:val="16"/>
          <w:color w:val="auto"/>
        </w:rPr>
        <w:t>Agreement”), by and among the Company, Life Newco, Phyxius and the stockholders of Phyxius. Among these assets was a license between Phyxius and Orion Corporation, a global healthcare company incorporated under the laws of Finland (“Orion”), dated September 20, 2013, and that certain Side Letter, dated October 15, 2013, for the exclusive, sublicensable right to develop and commercialize pharmaceutical products containing levosimendan, 2.5 mg/ml concentrate for solution for infusion / 5ml vial in the United States and Canada (the “Territory”). On October 9, 2020 and January 25, 2022, the Company amended the license (as amended, the “License”), to include two product dose forms containing levosimendan, in capsule and solid dosage form, and a subcutaneously administered product containing levosimendan, subject to specified limitations in the License (together, the “Product”). Pursuant to the License, the Company and Orion will agree to a new trademark when commercializing levosimendan in either of these forms.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an upcoming Phase 3 study in pulmonary hypertension patients utilizing one of these formulations. See “Note 7 - Commitments and Contingencies” below for a further discussion of the License.</w:t>
      </w:r>
    </w:p>
    <w:p>
      <w:pPr>
        <w:spacing w:after="0" w:line="16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January 15, 2021, the Company, Life Newco II, Inc., a Delaware corporation and a wholly-owned subsidiary of the Company (“Life Newco II”), PHPrecisionMed Inc., a Delaware corporation (“PHPM”) and Dr. Stuart Rich, solely in his capacity as holders’ representative ( the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 (the “Merger”). See “Note 6 - Merger” below for a further discussion of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believes the accompanying condensed consolidated financial statements have been prepared in conformity with generally accepted accounting principles in the United States of America (“GAAP”), which contemplate continuation of the Company as a going concern. The Company has an accumulated deficit of $284.1 million on June 30, 2022 and $278.5 million on December 31, 2021 and used cash in operations of $6.4 million and $5.1 million during the six months ended June 30, 2022 and 2021,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June 30, 2022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for interim financial information and the instructions to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Accordingly, they do not include all of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29, 2022, from which the Company derived the balance sheet data at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and transactions of Tenax Therapeutics, Inc., Life Newco, Inc. and PHPrecisionMed Inc. All material intercompany transactions and balances have been eliminated in consolidation.</w:t>
      </w:r>
    </w:p>
    <w:p>
      <w:pPr>
        <w:sectPr>
          <w:pgSz w:w="11900" w:h="16838" w:orient="portrait"/>
          <w:cols w:equalWidth="0" w:num="1">
            <w:col w:w="11240"/>
          </w:cols>
          <w:pgMar w:left="320" w:top="125" w:right="3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ectPr>
          <w:pgSz w:w="11900" w:h="16838" w:orient="portrait"/>
          <w:cols w:equalWidth="0" w:num="1">
            <w:col w:w="11240"/>
          </w:cols>
          <w:pgMar w:left="320" w:top="125" w:right="33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The Company considers all highly liquid instruments with a maturity date of three months or less, when acquired,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On June 30, 2022, the Company had cash and cash equivalents of approximately $7.2 million. The Company used $6.4 million of cash for operating activities during the six months ended June 30, 2022 and had stockholders’ equity of $6.8 million, versus $4.2 million on December 31, 2021.</w:t>
      </w:r>
    </w:p>
    <w:p>
      <w:pPr>
        <w:spacing w:after="0" w:line="12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Company expects to continue to incur expenses related to development of imatinib for PAH, levosimendan for pulmonary hypertension, and other potential indications, as well as identifying and developing other potential product candidates. Based on its resources on June 30, 2022, the Company believes that it has sufficient capital to fund its planned operations through the fourth quarter of calendar year 2022.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licensing its product candidates to another pharmaceutical company. The Company will continue to fund operations from cash on hand and through sources of capital similar to those previously described. The Company cannot provide assurance that it will be able to secure such additional financing on reasonable terms, or if available, that it will be sufficient to meet its needs.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9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continued spread of COVID-19 globally could adversely affect the Company’s clinical trial operations, including its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the Company’s ability to initiate and/or complete planned clinical and preclinical studies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42"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18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31,524,794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15,797,503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Pre-funded warrants to purchase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20,629,301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5,260,005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1,770,720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Convertible preferred shares outstanding</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condensed consolidated balance sheet as of June 30, 2022.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ectPr>
          <w:pgSz w:w="11900" w:h="16838" w:orient="portrait"/>
          <w:cols w:equalWidth="0" w:num="1">
            <w:col w:w="11220"/>
          </w:cols>
          <w:pgMar w:left="320" w:top="341" w:right="359" w:bottom="146" w:gutter="0" w:footer="0" w:header="0"/>
        </w:sectPr>
      </w:pPr>
    </w:p>
    <w:bookmarkStart w:id="6" w:name="page7"/>
    <w:bookmarkEnd w:id="6"/>
    <w:p>
      <w:pPr>
        <w:spacing w:after="0" w:line="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No. 2020-06, Debt-Debt with Conversion and Other Options (Subtopic 470-20) and Derivatives and Hedging-Contracts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2023. Early adoption will be permitted. The Company is currently evaluating the impact of this standard on its condensed consolidated financial statements.</w:t>
      </w:r>
    </w:p>
    <w:p>
      <w:pPr>
        <w:spacing w:after="0" w:line="19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June 2016, the FASB issued ASU-2016-13, Financial Instruments-Credit Losses (Topic 326): Measurement of Credit Losses on Financial Instruments, which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condensed consolidated financial statements and related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primarily consist of clinical trial costs, rent and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primarily consist of office furniture and fixtures.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was approximately $1,200 and $1,000 for the three months ended June 30, 2022 and 2021, respectively. Depreciation expense was approximately $2,600 and $2,000 for the six months ended June 30, 2022 and 2021,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8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31, 2021</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107,192</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434,539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704,340</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Financed Insurance Premium</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entered into a Premium Finance Agreement with Premium Funding Associates, Inc. in connection with certain of the Company’s insurance policies and, pursuant thereto, issued a note payable to Premium Funding, Inc. for $364,546 (the “Note”). The Note has an eight-month term, bears interest at a rate of 3.24% per annum, and is secured by the policies. Under the terms of the Note, the Company is required to make monthly installments of principal and interest totaling $46,124 through August 31, 2022. The Company recorded interest expense of $1,484 and $4,070 for the three and six months ended June 30, 2022, respectively. The balance on the Note as of June 30, 2022 was $91,875.</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LEASE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2011, the Company entered into a lease with Concourse Associates, LLC for its headquarters in Morrisville, North Carolina (the “Lease”). The Lease was amended in August 2015 to extend the term for the 5,954 square foot rental. The subsequent term began on March 1, 2016 and continued for 64 months to June 30, 2021. Rent payments began on July 1, 2016, following the conclusion of a four-month rent abatement period. The Company has two five-year options to extend the Lease and a one-time option to terminate the Lease 36 months after the commencement of the initial term if no additional space became available. On April 2, 2021, the Company negotiated a three-year extension to the existing lease term, commencing July 1, 2021 (the “Commencement Date”). Beginning on the Commencement Date, the annual base rent was increased to $125,034 and will increase 2.5% annually for lease years two and three.</w:t>
      </w:r>
    </w:p>
    <w:p>
      <w:pPr>
        <w:spacing w:after="0" w:line="19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performed an evaluation of its other contracts with customers and suppliers in accordance with Accounting Standards Codification ("ASC") 842, Leases, and determined that, except for the Lease described above, none of the Company’s contracts contain a lease.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The balance sheet classification of our lease liabilities was as follows: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8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31, 2021</w:t>
            </w:r>
          </w:p>
        </w:tc>
        <w:tc>
          <w:tcPr>
            <w:tcW w:w="10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107,192</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Long term lease liability</w:t>
            </w:r>
          </w:p>
        </w:tc>
        <w:tc>
          <w:tcPr>
            <w:tcW w:w="1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125,883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183,589</w:t>
            </w:r>
          </w:p>
        </w:tc>
        <w:tc>
          <w:tcPr>
            <w:tcW w:w="10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290,781</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45" w:orient="portrait"/>
          <w:cols w:equalWidth="0" w:num="1">
            <w:col w:w="11220"/>
          </w:cols>
          <w:pgMar w:left="320" w:top="125" w:right="35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the maturities of our operating lease liabilities were as follows:</w:t>
      </w:r>
    </w:p>
    <w:p>
      <w:pPr>
        <w:sectPr>
          <w:pgSz w:w="11900" w:h="16845" w:orient="portrait"/>
          <w:cols w:equalWidth="0" w:num="1">
            <w:col w:w="11220"/>
          </w:cols>
          <w:pgMar w:left="320" w:top="125" w:right="359" w:bottom="0" w:gutter="0" w:footer="0" w:header="0"/>
          <w:type w:val="continuous"/>
        </w:sectPr>
      </w:pPr>
    </w:p>
    <w:bookmarkStart w:id="7" w:name="page8"/>
    <w:bookmarkEnd w:id="7"/>
    <w:tbl>
      <w:tblPr>
        <w:tblLayout w:type="fixed"/>
        <w:tblInd w:w="86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rPr>
              <w:t>2022</w:t>
            </w:r>
          </w:p>
        </w:tc>
        <w:tc>
          <w:tcPr>
            <w:tcW w:w="3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jc w:val="right"/>
              <w:ind w:right="4630"/>
              <w:spacing w:after="0"/>
              <w:rPr>
                <w:sz w:val="20"/>
                <w:szCs w:val="20"/>
                <w:color w:val="auto"/>
              </w:rPr>
            </w:pPr>
            <w:r>
              <w:rPr>
                <w:rFonts w:ascii="Arial" w:cs="Arial" w:eastAsia="Arial" w:hAnsi="Arial"/>
                <w:sz w:val="18"/>
                <w:szCs w:val="18"/>
                <w:color w:val="auto"/>
              </w:rPr>
              <w:t>2023</w:t>
            </w: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jc w:val="right"/>
              <w:ind w:right="4630"/>
              <w:spacing w:after="0"/>
              <w:rPr>
                <w:sz w:val="20"/>
                <w:szCs w:val="20"/>
                <w:color w:val="auto"/>
              </w:rPr>
            </w:pPr>
            <w:r>
              <w:rPr>
                <w:rFonts w:ascii="Arial" w:cs="Arial" w:eastAsia="Arial" w:hAnsi="Arial"/>
                <w:sz w:val="18"/>
                <w:szCs w:val="18"/>
                <w:color w:val="auto"/>
              </w:rPr>
              <w:t>2024</w:t>
            </w:r>
          </w:p>
        </w:tc>
        <w:tc>
          <w:tcPr>
            <w:tcW w:w="3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(20,555)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liability</w:t>
            </w:r>
          </w:p>
        </w:tc>
        <w:tc>
          <w:tcPr>
            <w:tcW w:w="3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its Lease’s Commencement Date. As of June 30, 2022, the remaining Lease term is 21 months and the discount rate used to determine the operating lease liability was 8.0%. For the six months ending June 30, 2022, the Company paid $62,121 in total lease expenses, including a net maintenance credit of $396 for common area maintenance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MERGER</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January 15, 2021, the Company, Life Newco II, PHPM, and Dr. Rich, as Representative, entered into the Merger Agreement, pursuant to which, the Company acquired all of the equity of PHPM. Under the terms of the Merger Agreement, Life Newco II merged with and into PHPM, with PHPM surviving as a wholly-owned subsidiary of the Company.</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consideration for the Merger, the stockholders of PHPM received (i) 1,892,905 shares of Company common stock, and (ii) 10,232 shares of the Company’s Series B convertible preferred stock (“Series B Stock”), which were convertible into up to an aggregate of 10,232,000 shares of common stock (collectively, the “Merger Consideration”). To satisfy the Company’s post-closing rights to closing adjustments and indemnification by PHPM and the former stockholders of PHPM pursuant to the Merger Agreement, 1,212,492 shares of common stock issuable upon conversion of the Series B Stock, which represented approximately 10% of the Merger Consideration, are subject to holdback restrictions for 24 months following closing of the transaction (the “Holdback Shares”).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Pursuant to the Merger Agreement, the Company’s Board of Directors, at its annual meeting of stockholders held on June 10, 2021, recommended to the Company’s stockholders, and the stockholders approved, the conversion of the Series B Stock pursuant to the Certificate of Designation. As a result,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Pursuant to the terms of the Merger Agreement, on February 25, 2021, the Board appointed three directors designated by the PHPM representative to serve on the Board: Dr. Rich, the co-founder and Chief Executive Officer and a stockholder of PHPM, and Drs. Michael Davidson and Declan Doogan. In connection with the closing of the Merger, Dr. Rich also was appointed Chief Medical Officer of the Company.</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project is an identifiable intangible asset that would be accounted for as a single asset in a business combination. The Company also qualitatively concluded that 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was allocated to the in-process research and development project. As such, the Company concluded that substantially all of the fair value of the gross assets acquired was concentrated in the single in-process research and development asset and the set was not a business.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furthering the clinical development of the acquired asset in an upcoming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was an expense on the acquisition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The consideration transferred, assets acquired and liabilities assumed were recognized as follows: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of Common Stock issued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Fair Value of Series B Convertible Preferred Stock issued at closing</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18,212,960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fair value of consideration transferred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21,582,331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vMerge w:val="restart"/>
          </w:tcPr>
          <w:p>
            <w:pPr>
              <w:spacing w:after="0"/>
              <w:rPr>
                <w:sz w:val="17"/>
                <w:szCs w:val="17"/>
                <w:color w:val="auto"/>
              </w:rPr>
            </w:pPr>
          </w:p>
        </w:tc>
        <w:tc>
          <w:tcPr>
            <w:tcW w:w="73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Accounts payable assumed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7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identifiable net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IPR&amp;D expense recognized</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21,732,331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7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fair value of consideration</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21,582,331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ectPr>
          <w:pgSz w:w="11900" w:h="16838" w:orient="portrait"/>
          <w:cols w:equalWidth="0" w:num="1">
            <w:col w:w="11200"/>
          </w:cols>
          <w:pgMar w:left="320" w:top="337" w:right="379" w:bottom="187" w:gutter="0" w:footer="0" w:header="0"/>
        </w:sectPr>
      </w:pPr>
    </w:p>
    <w:bookmarkStart w:id="8" w:name="page9"/>
    <w:bookmarkEnd w:id="8"/>
    <w:p>
      <w:pPr>
        <w:ind w:right="40"/>
        <w:spacing w:after="0" w:line="254" w:lineRule="auto"/>
        <w:rPr>
          <w:sz w:val="20"/>
          <w:szCs w:val="20"/>
          <w:color w:val="auto"/>
        </w:rPr>
      </w:pPr>
      <w:r>
        <w:rPr>
          <w:rFonts w:ascii="Arial" w:cs="Arial" w:eastAsia="Arial" w:hAnsi="Arial"/>
          <w:sz w:val="18"/>
          <w:szCs w:val="18"/>
          <w:color w:val="auto"/>
        </w:rPr>
        <w:t>On November 13, 2013, the Company acquired, through its wholly-owned subsidiary, Life Newco, that certain License, dated September 20, 2013, as amended on October 9, 2020 and January 25, 2022, by and between Phyxius and Orion, and that certain Side Letter, dated October 15, 2013 by and between Phyxius and Orion. The License grants the Company an exclusive, sublicensable right to develop and commercialize pharmaceutical products containing levosimendan in the Territory and, pursuant to the October 9, 2020 and January 25, 2022 amendments,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w:t>
      </w:r>
    </w:p>
    <w:p>
      <w:pPr>
        <w:spacing w:after="0" w:line="19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June 30, 2022 and June 30, 2021, the Company has not met any of the developmental milestones under the License and, accordingly, has not recorded any liability for the contingent payments due to Orion.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Stock</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further discussed in “Note 6—Merger”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rights, preferences and privileges of the Series B Stock are set forth in the Certificate of Designation. Following receipt of the approval of the stockholders of the Company on June 10, 2021 for the Conversion,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there were no shares of Series B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Stock</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ind w:right="80" w:firstLine="8"/>
        <w:spacing w:after="0" w:line="302"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two-year warrant to purchase one share of common stock at an exercise price of $1.93, and (iii) a five-year warrant to purchase one share of common stock at an exercise price of $1.93. In accordance with ASC 480, Distinguishing Liabilities from Equity, the estimated fair value of $1,800,016 for the beneficial conversion feature was recognized as a deemed dividend on the Series A Stock during the year ended December 31, 2020.</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ectPr>
          <w:pgSz w:w="11900" w:h="16838" w:orient="portrait"/>
          <w:cols w:equalWidth="0" w:num="1">
            <w:col w:w="11220"/>
          </w:cols>
          <w:pgMar w:left="320" w:top="125" w:right="359" w:bottom="0" w:gutter="0" w:footer="0" w:header="0"/>
        </w:sect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Conversion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Subject to the ownership limitations described below, the Series A Stock is convertible at any time at the option of the holder into shares of the Company’s common stock at a conversion ratio determined by dividing the stated value of the Series A Stock by a conversion price of $1.93 per share. The conversion price is subject to adjustment in the case of stock splits, stock dividends, combinations of shares and similar recapitalization transactions.</w:t>
      </w:r>
    </w:p>
    <w:p>
      <w:pPr>
        <w:spacing w:after="0" w:line="171" w:lineRule="exact"/>
        <w:rPr>
          <w:sz w:val="20"/>
          <w:szCs w:val="20"/>
          <w:color w:val="auto"/>
        </w:rPr>
      </w:pPr>
    </w:p>
    <w:p>
      <w:pPr>
        <w:sectPr>
          <w:pgSz w:w="11900" w:h="16838" w:orient="portrait"/>
          <w:cols w:equalWidth="0" w:num="2">
            <w:col w:w="1660" w:space="720"/>
            <w:col w:w="8840"/>
          </w:cols>
          <w:pgMar w:left="320" w:top="125" w:right="359" w:bottom="0" w:gutter="0" w:footer="0" w:header="0"/>
          <w:type w:val="continuous"/>
        </w:sectPr>
      </w:pPr>
    </w:p>
    <w:p>
      <w:pPr>
        <w:ind w:left="2380" w:right="60"/>
        <w:spacing w:after="0" w:line="257" w:lineRule="auto"/>
        <w:rPr>
          <w:sz w:val="20"/>
          <w:szCs w:val="20"/>
          <w:color w:val="auto"/>
        </w:rPr>
      </w:pPr>
      <w:r>
        <w:rPr>
          <w:rFonts w:ascii="Arial" w:cs="Arial" w:eastAsia="Arial" w:hAnsi="Arial"/>
          <w:sz w:val="18"/>
          <w:szCs w:val="18"/>
          <w:color w:val="auto"/>
        </w:rPr>
        <w:t>The Company will not affect any conversion of the Series A Stock, nor shall a holder convert its shares of Series A Stock, to the extent that such conversion would cause the holder to have acquired, through conversion of the Series A Stock or otherwise, beneficial ownership of a number shares of common stock in excess of 4.99% (or, at the election of the holder prior to the issuance of any shares of Series A Stock, 9.99%) of the common stock outstanding after giving effect to such exercise.</w:t>
      </w:r>
    </w:p>
    <w:p>
      <w:pPr>
        <w:sectPr>
          <w:pgSz w:w="11900" w:h="16838" w:orient="portrait"/>
          <w:cols w:equalWidth="0" w:num="1">
            <w:col w:w="11220"/>
          </w:cols>
          <w:pgMar w:left="320" w:top="125" w:right="359" w:bottom="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Dividends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the event the Company pays dividends on its shares of common stock, the holders of the Series A Stock will be entitled to receive dividends on shares of Series A Stock equal, on an as-if-converted basis, to and in the same form as paid on the common stock. No other dividends will be paid on the shares of Series A Stock.</w:t>
      </w:r>
    </w:p>
    <w:p>
      <w:pPr>
        <w:spacing w:after="0" w:line="184" w:lineRule="exact"/>
        <w:rPr>
          <w:sz w:val="20"/>
          <w:szCs w:val="20"/>
          <w:color w:val="auto"/>
        </w:rPr>
      </w:pPr>
    </w:p>
    <w:p>
      <w:pPr>
        <w:sectPr>
          <w:pgSz w:w="11900" w:h="16838" w:orient="portrait"/>
          <w:cols w:equalWidth="0" w:num="2">
            <w:col w:w="1660" w:space="720"/>
            <w:col w:w="8840"/>
          </w:cols>
          <w:pgMar w:left="320" w:top="125" w:right="359" w:bottom="0" w:gutter="0" w:footer="0" w:header="0"/>
          <w:type w:val="continuous"/>
        </w:sectPr>
      </w:pPr>
    </w:p>
    <w:p>
      <w:pPr>
        <w:spacing w:after="0"/>
        <w:rPr>
          <w:sz w:val="20"/>
          <w:szCs w:val="20"/>
          <w:color w:val="auto"/>
        </w:rPr>
      </w:pPr>
      <w:r>
        <w:rPr>
          <w:rFonts w:ascii="Arial" w:cs="Arial" w:eastAsia="Arial" w:hAnsi="Arial"/>
          <w:sz w:val="17"/>
          <w:szCs w:val="17"/>
          <w:color w:val="auto"/>
        </w:rPr>
        <w:t>Liquidation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Upon any liquidation, dissolution or winding up of the Company after payment or provision for payment of debts and other liabilities of 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sectPr>
          <w:pgSz w:w="11900" w:h="16838" w:orient="portrait"/>
          <w:cols w:equalWidth="0" w:num="2">
            <w:col w:w="1660" w:space="720"/>
            <w:col w:w="8840"/>
          </w:cols>
          <w:pgMar w:left="320" w:top="125" w:right="359" w:bottom="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Shares of Series A Stock will generally have no voting rights, except as required by law and except that the consent of holders of a majority of the then outstanding Series A Stock will be required to amend the terms of the Series A Stock or to take other action that adversely affects the rights of the holders of Series A Stock.</w:t>
      </w:r>
    </w:p>
    <w:p>
      <w:pPr>
        <w:spacing w:after="0" w:line="184" w:lineRule="exact"/>
        <w:rPr>
          <w:sz w:val="20"/>
          <w:szCs w:val="20"/>
          <w:color w:val="auto"/>
        </w:rPr>
      </w:pPr>
    </w:p>
    <w:p>
      <w:pPr>
        <w:sectPr>
          <w:pgSz w:w="11900" w:h="16838" w:orient="portrait"/>
          <w:cols w:equalWidth="0" w:num="2">
            <w:col w:w="1660" w:space="720"/>
            <w:col w:w="8840"/>
          </w:cols>
          <w:pgMar w:left="320" w:top="125" w:right="359" w:bottom="0" w:gutter="0" w:footer="0" w:header="0"/>
        </w:sectPr>
      </w:pPr>
    </w:p>
    <w:p>
      <w:pPr>
        <w:spacing w:after="0"/>
        <w:rPr>
          <w:sz w:val="20"/>
          <w:szCs w:val="20"/>
          <w:color w:val="auto"/>
        </w:rPr>
      </w:pPr>
      <w:r>
        <w:rPr>
          <w:rFonts w:ascii="Arial" w:cs="Arial" w:eastAsia="Arial" w:hAnsi="Arial"/>
          <w:sz w:val="18"/>
          <w:szCs w:val="18"/>
          <w:color w:val="auto"/>
        </w:rPr>
        <w:t>As of June 30, 2022, there were 210 shares of Series A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Pre-Funded Warrants</w:t>
      </w:r>
    </w:p>
    <w:p>
      <w:pPr>
        <w:spacing w:after="0" w:line="225"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Company’s Certificate of Incorporation authorizes it to issue 400,000,000 shares of $0.0001 par value common stock. As of June 30, 2022, and December 31, 2021, there were 25,206,914 shares of common stock issued and outstanding. As of June 30, 2022, there were 20,629,301 pre-funded warrants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2022 Private Placement (the “May 2022 Offering”)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May 17, 2022, the Company entered into a securities purchase agreement with an institutional investor, a related party, pursuant to which the Company agreed to sell and issue to the investor 10,596,027 units in a private placement at a purchase price of $0.775 per unit. Each unit consisted of (i) one unregistered pre-funded warrant to purchase one share of common stock and (ii) one unregistered warrant to purchase one share of common stock (together with the pre-funded warrants, the “2022 Warrants”). In the aggregate, 21,192,054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in connection with the May 2022 Offering, the Company entered into a warrant amendment agreement (the “Warrant Amendment Agreement”) with the institutional investor, in consideration for the investor’s purchase of units in the May 2022 Offering, pursuant to which the Company agreed to amend certain previously issued warrants held by the institutional investor. The terms of the amended and restated warrants are described further below under “Note 8—Stockholders Equity—Warrants”.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Private Placement (the “July 2021 Offering”)</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July 6, 2021, the Company entered into a securities purchase agreement with an institutional investor, a related party, pursuant to which the Company agreed to sell and issue to the investor 4,773,269 units in a private placement at a purchase price of $2.095 per unit. Each unit consisted of (i) one unregistered pre-funded warrant to purchase one share of common stock and (ii) one unregistered warrant to purchase one share of common stock (together with the pre-funded warrants, the “2021 Warrants”). In the aggregate, 9,546,538 shares of the Company’s common stock are underlying the 2021 Warrants. The net proceeds from the private placement, after deducting placement agent fees and other direct offering expenses, were approximately $9.2 million. The fair value allocated to the pre-funded warrants and warrants was $5.5 million and $4.5 million, respectively.</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Also, on July 6, 2021 and in connection with the July 2021 Offering, the Company entered into a registration rights agreement (the “July 2021 Registration Rights Agreement”) with the investor, pursuant to which the Company agreed to register for resale the shares of common stock issuable upon exercise of the 2021 Warrants within 120 days following the effective date of the July 2021 Registration Rights Agreement. Pursuant to the July 2021 Registration Rights Agreement, on August 20, 2021, the Company filed a resale registration statement on Form S-3 with the SEC, which went effective on September 1,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June 30, 2022, the Company has 31,524,794 warrants outstanding. The following table summarizes the Company’s warrant activity for the six months ended June 30, 2022:</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724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r>
      <w:tr>
        <w:trPr>
          <w:trHeight w:val="209"/>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20,928,767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5"/>
              </w:rPr>
              <w:t>1.45</w:t>
            </w: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Issued</w:t>
            </w:r>
          </w:p>
        </w:tc>
        <w:tc>
          <w:tcPr>
            <w:tcW w:w="960" w:type="dxa"/>
            <w:vAlign w:val="bottom"/>
          </w:tcPr>
          <w:p>
            <w:pPr>
              <w:jc w:val="right"/>
              <w:spacing w:after="0"/>
              <w:rPr>
                <w:sz w:val="20"/>
                <w:szCs w:val="20"/>
                <w:color w:val="auto"/>
              </w:rPr>
            </w:pPr>
            <w:r>
              <w:rPr>
                <w:rFonts w:ascii="Arial" w:cs="Arial" w:eastAsia="Arial" w:hAnsi="Arial"/>
                <w:sz w:val="18"/>
                <w:szCs w:val="18"/>
                <w:color w:val="auto"/>
              </w:rPr>
              <w:t>10,596,027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w w:val="85"/>
              </w:rPr>
              <w:t>0.63</w:t>
            </w:r>
          </w:p>
        </w:tc>
        <w:tc>
          <w:tcPr>
            <w:tcW w:w="22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(9,206,120)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1"/>
              </w:rPr>
              <w:t>1.72(1)</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Amended and restated</w:t>
            </w:r>
          </w:p>
        </w:tc>
        <w:tc>
          <w:tcPr>
            <w:tcW w:w="960" w:type="dxa"/>
            <w:vAlign w:val="bottom"/>
          </w:tcPr>
          <w:p>
            <w:pPr>
              <w:jc w:val="right"/>
              <w:spacing w:after="0"/>
              <w:rPr>
                <w:sz w:val="20"/>
                <w:szCs w:val="20"/>
                <w:color w:val="auto"/>
              </w:rPr>
            </w:pPr>
            <w:r>
              <w:rPr>
                <w:rFonts w:ascii="Arial" w:cs="Arial" w:eastAsia="Arial" w:hAnsi="Arial"/>
                <w:sz w:val="18"/>
                <w:szCs w:val="18"/>
                <w:color w:val="auto"/>
              </w:rPr>
              <w:t>9,206,120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w w:val="91"/>
              </w:rPr>
              <w:t>0.63(1)</w:t>
            </w:r>
          </w:p>
        </w:tc>
      </w:tr>
      <w:tr>
        <w:trPr>
          <w:trHeight w:val="20"/>
        </w:trPr>
        <w:tc>
          <w:tcPr>
            <w:tcW w:w="7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31,524,794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85"/>
              </w:rPr>
              <w:t>0.86</w:t>
            </w:r>
          </w:p>
        </w:tc>
        <w:tc>
          <w:tcPr>
            <w:tcW w:w="22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900" w:right="16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reflects the portion of the warrants that were amended and restated to lower the exercise price to $0.63 in connection with the May 2022 Warrant Amendment Agreement, which is described further below.</w:t>
      </w:r>
    </w:p>
    <w:p>
      <w:pPr>
        <w:sectPr>
          <w:pgSz w:w="11900" w:h="16838" w:orient="portrait"/>
          <w:cols w:equalWidth="0" w:num="1">
            <w:col w:w="11220"/>
          </w:cols>
          <w:pgMar w:left="320" w:top="125" w:right="35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May 2022 Warrants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described above, as a part of the May 2022 Offering, the Company issued unregistered warrants to purchase 10,596,027 shares of its common stock at an exercise price of $0.63 per share and contractual term of five and one-half years. The unregistered warrants were offered in a private placement under Section 4(a)(2) of the Securities Act of 1933, as amended (the “Securities Act”) and Regulation D promulgated thereunder. In accordance with ASC 815, Derivatives and Hedging, these warrants are classified as equity and their relative fair value of approximately $3.8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2021 Warrants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described above, as a part of the July 2021 Offering, the Company issued unregistered warrants to purchase 4,773,269 shares of its common stock at an exercise price of $1.97 per share and contractual term of five and one-half years. In connection with the May 2022 Offering, the unregistered warrants were subsequently amended by reducing the exercise price to $0.63 and extending the termination date of the warrants to January 8, 2029. The unregistered warrants were offered in a private placement under Section 4(a)(2) of the Securities Act and Regulation D promulgated thereunder. In accordance with ASC 815, these warrants are classified as equity and their relative fair value of approximately $4.5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July 2021 Offering described above, the Company issued designees of the placement agent warrants to purchase 357,995 shares of common stock at an exercise price of $2.46 and a contractual term of five years. In accordance with ASC 815, these warrants are classified as equity and its estimated fair value of 558,472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Warrants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July 6, 2020, the Company issued unregistered warrants to purchase 7,783,616 shares of its common stock at an exercise price of $0.903 per share and contractual term of five and one-half years. In connection with the May 2022 Offering, the unregistered warrants were subsequently amended by extending the termination date of the warrants to January 8, 2028.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March 13, 2020, the Company issued unregistered warrants to purchase 2,360,313 shares of its common stock at an exercise price of $1.04 per share and contractual term of five and one-half years. In connection with the May 2022 Offering, the unregistered warrants were subsequently amended by reducing the exercise price to $0.63 and extending the termination date of the warrants to September 15, 2027.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2018 Warrants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December 11, 2018, the Company issued warrants to purchase 5,181,346 shares of its common stock at an exercise price of $1.93 per share and contractual term of five years. In connection with the May 2022 Offering, 2,072,538 of these warrants were subsequently amended by reducing the exercise price to $0.63 and extending the termination date of the warrants to December 11,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Stock Incentive Plan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2022, the Company adopted the 2022 Stock Incentive Plan (the “2022 Plan”). Under the 2022 Plan, with the approval of the Board’s Compensation Committee, the Company may grant stock options, stock appreciation rights, restricted stock, restricted stock units, performance shares, performance units, cash-based awards or other stock-based awards. On June 9, 2022, the Company’s stockholders approved the 2022 Plan, which authorizes for issuance under the 2022 Plan a total of 1,100,000 shares of common stock. Upon approval by the stockholders,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2022 Plan for the six months ended June 30, 2022:</w:t>
      </w:r>
    </w:p>
    <w:p>
      <w:pPr>
        <w:spacing w:after="0" w:line="221"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Shares</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Available</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5715</wp:posOffset>
            </wp:positionV>
            <wp:extent cx="606044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9144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11" w:name="page12"/>
    <w:bookmarkEnd w:id="11"/>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Shares reserved under 2022 Plan</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Shares rolled over from 2016 Plan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819,750</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Options granted</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(571,250)</w:t>
            </w:r>
          </w:p>
        </w:tc>
      </w:tr>
      <w:tr>
        <w:trPr>
          <w:trHeight w:val="209"/>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1,348,500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2022 Plan Stock Options</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2022 Plan for the six months ended June 30, 2022.</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Weighted</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ind w:left="8280"/>
        <w:spacing w:after="0"/>
        <w:tabs>
          <w:tab w:leader="none" w:pos="94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Exercise</w:t>
      </w:r>
    </w:p>
    <w:p>
      <w:pPr>
        <w:spacing w:after="0" w:line="9" w:lineRule="exact"/>
        <w:rPr>
          <w:sz w:val="20"/>
          <w:szCs w:val="20"/>
          <w:color w:val="auto"/>
        </w:rPr>
      </w:pPr>
    </w:p>
    <w:p>
      <w:pPr>
        <w:ind w:left="8440"/>
        <w:spacing w:after="0"/>
        <w:tabs>
          <w:tab w:leader="none" w:pos="96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 31, 2021</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571,250</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571,250</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compensation expense for stock option grants of $33,950 for the three months ended June 30, 2022.</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2022, there were unrecognized compensation costs of approximately $259,744 related to non-vested stock option awards under the 2022 Plan that will be recognized on a straight-line basis over the weighted average remaining vesting period of 2.37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following assumptions to estimate the fair value of options granted under the 2022 Plan for the six months ended June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94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For the six</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9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6"/>
              </w:rPr>
              <w:t>months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94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9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Expected volatility (weighted average)</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102.01%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3380"/>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8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Risk-Free Interest Rate</w:t>
            </w: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93"/>
              </w:rPr>
              <w:t>The risk-free interest rate assumption was based on U.S. Treasury instruments with a term that is consistent with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expected term of the Company’s stock options.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Expected Volatility</w:t>
            </w: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97"/>
              </w:rPr>
              <w:t>The expected stock price volatility for the Company’s common stock was determined by examining the historical</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99"/>
              </w:rPr>
              <w:t>volatility and trading history for its common stock over a term consistent with the expected term of its options.</w:t>
            </w:r>
          </w:p>
        </w:tc>
        <w:tc>
          <w:tcPr>
            <w:tcW w:w="0" w:type="dxa"/>
            <w:vAlign w:val="bottom"/>
          </w:tcPr>
          <w:p>
            <w:pPr>
              <w:spacing w:after="0"/>
              <w:rPr>
                <w:sz w:val="1"/>
                <w:szCs w:val="1"/>
                <w:color w:val="auto"/>
              </w:rPr>
            </w:pPr>
          </w:p>
        </w:tc>
      </w:tr>
      <w:tr>
        <w:trPr>
          <w:trHeight w:val="418"/>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Expected Term</w:t>
            </w: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92"/>
              </w:rPr>
              <w:t>The expected term of stock options represents the weighted average period the stock options are expected to remain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rPr>
              <w:t>outstanding. It was calculated based on the Company’s historical experience with its stock option grants.</w:t>
            </w:r>
          </w:p>
        </w:tc>
        <w:tc>
          <w:tcPr>
            <w:tcW w:w="0" w:type="dxa"/>
            <w:vAlign w:val="bottom"/>
          </w:tcPr>
          <w:p>
            <w:pPr>
              <w:spacing w:after="0"/>
              <w:rPr>
                <w:sz w:val="1"/>
                <w:szCs w:val="1"/>
                <w:color w:val="auto"/>
              </w:rPr>
            </w:pPr>
          </w:p>
        </w:tc>
      </w:tr>
      <w:tr>
        <w:trPr>
          <w:trHeight w:val="418"/>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Expected Dividend Yield</w:t>
            </w: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97"/>
              </w:rPr>
              <w:t>The expected dividend yield of 0% is based on the Company’s history and expectation of dividend payouts.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w w:val="97"/>
              </w:rPr>
              <w:t>Company has not paid and does not anticipate paying any dividends in the near future.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Forfeitures</w:t>
            </w: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89"/>
              </w:rPr>
              <w:t>Stock compensation expense recognized in the statements of operations for the six months ended June 30, 2022 is based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90"/>
              </w:rPr>
              <w:t>on awards ultimately expected to vest, and it has been reduced for estimated forfeitures. ASC 718 requires forfeitures to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80" w:type="dxa"/>
            <w:vAlign w:val="bottom"/>
            <w:gridSpan w:val="4"/>
          </w:tcPr>
          <w:p>
            <w:pPr>
              <w:ind w:left="400"/>
              <w:spacing w:after="0"/>
              <w:rPr>
                <w:sz w:val="20"/>
                <w:szCs w:val="20"/>
                <w:color w:val="auto"/>
              </w:rPr>
            </w:pPr>
            <w:r>
              <w:rPr>
                <w:rFonts w:ascii="Arial" w:cs="Arial" w:eastAsia="Arial" w:hAnsi="Arial"/>
                <w:sz w:val="18"/>
                <w:szCs w:val="18"/>
                <w:color w:val="auto"/>
                <w:w w:val="92"/>
              </w:rPr>
              <w:t>be estimated at the time of grant and revised, if necessary, in subsequent periods if actual forfeitures differ from those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w w:val="99"/>
              </w:rPr>
              <w:t>estimates. Forfeitures were estimated based on the Company’s historical experience.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Stock Incentive Plan, as Amended</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June 2016, the Company adopted the 2016 Plan. Under the 2016 Plan, with the approval of the Board’s Compensation Committee, the Company could grant stock options, stock appreciation rights, restricted stock, restricted stock units, performance shares, performance units, cash-based awards or other stock-based awards. On June 13, 2019, the Company’s stockholders approved an amendment to the 2016 Plan which increased the number of shares of common stock authorized for issuance under the 2016 Plan to a total of 750,000 shares, up from 150,000 previously authorized. On June 10, 2021, the Company’s stockholders approved an additional amendment to the 2016 Plan which increased the number of shares of common stock authorized for issuance under the 2016 Plan to a total of 1.5 million shares, up from 750,000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w:t>
      </w:r>
    </w:p>
    <w:p>
      <w:pPr>
        <w:sectPr>
          <w:pgSz w:w="11900" w:h="16860" w:orient="portrait"/>
          <w:cols w:equalWidth="0" w:num="1">
            <w:col w:w="11240"/>
          </w:cols>
          <w:pgMar w:left="320" w:top="140" w:right="339" w:bottom="0" w:gutter="0" w:footer="0" w:header="0"/>
        </w:sectPr>
      </w:pPr>
    </w:p>
    <w:bookmarkStart w:id="12" w:name="page13"/>
    <w:bookmarkEnd w:id="12"/>
    <w:p>
      <w:pPr>
        <w:ind w:right="340"/>
        <w:spacing w:after="0" w:line="342" w:lineRule="auto"/>
        <w:rPr>
          <w:sz w:val="20"/>
          <w:szCs w:val="20"/>
          <w:color w:val="auto"/>
        </w:rPr>
      </w:pPr>
      <w:r>
        <w:rPr>
          <w:rFonts w:ascii="Arial" w:cs="Arial" w:eastAsia="Arial" w:hAnsi="Arial"/>
          <w:sz w:val="16"/>
          <w:szCs w:val="16"/>
          <w:color w:val="auto"/>
        </w:rPr>
        <w:t>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was no stock activity under the 2016 Plan for the three and six months ended June 30,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2016 Plan Stock Options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 options granted under the 2016 Plan could be either incentive stock options (“ISOs”) or nonqualified stock options (“NSOs”). ISOs could be granted only to employees. NSOs could be granted to employees, consultants and directors. Stock options under the 2016 Plan could be granted with a term of up to ten years and at prices no less than fair market value at the time of grant. Stock options granted under the 2016 Plan generally vest over three to four years.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2022, the Company has 663,250 options outstanding. There was no option activity under the 2016 Plan for the three and six months ended June 30, 2022.</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granted under the 2016 Plan over the requisite service period using the Black-Scholes Option Pricing Model to calculate the grant date fair value.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recorded compensation expense for these stock option grants under the 2016 Plan of $29,359 and $92,339 for the three months ended June 30, 2022 and 2021, and $65,705 and $182,658 for the six months ended June 30, 2022 and 2021, respectively.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June 30, 2022, there were unrecognized compensation costs of approximately $93,332 related to non-vested stock option awards under the 2016 Plan that will be recognized on a straight-line basis over the weighted average remaining vesting period of 0.88 years.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Plan, as Amended and Restated</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1999 Plan Stock Options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six months ended June 30, 2022:</w:t>
      </w:r>
    </w:p>
    <w:p>
      <w:pPr>
        <w:spacing w:after="0" w:line="2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17145</wp:posOffset>
            </wp:positionV>
            <wp:extent cx="1320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Weighted</w:t>
      </w:r>
    </w:p>
    <w:p>
      <w:pPr>
        <w:spacing w:after="0" w:line="23"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Average</w:t>
      </w:r>
    </w:p>
    <w:p>
      <w:pPr>
        <w:spacing w:after="0" w:line="9" w:lineRule="exact"/>
        <w:rPr>
          <w:sz w:val="20"/>
          <w:szCs w:val="20"/>
          <w:color w:val="auto"/>
        </w:rPr>
      </w:pPr>
    </w:p>
    <w:p>
      <w:pPr>
        <w:ind w:left="8280"/>
        <w:spacing w:after="0"/>
        <w:tabs>
          <w:tab w:leader="none" w:pos="94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16"/>
          <w:szCs w:val="16"/>
          <w:b w:val="1"/>
          <w:bCs w:val="1"/>
          <w:color w:val="auto"/>
        </w:rPr>
        <w:t>Exercise</w:t>
      </w:r>
    </w:p>
    <w:p>
      <w:pPr>
        <w:spacing w:after="0" w:line="9" w:lineRule="exact"/>
        <w:rPr>
          <w:sz w:val="20"/>
          <w:szCs w:val="20"/>
          <w:color w:val="auto"/>
        </w:rPr>
      </w:pPr>
    </w:p>
    <w:p>
      <w:pPr>
        <w:ind w:left="8440"/>
        <w:spacing w:after="0"/>
        <w:tabs>
          <w:tab w:leader="none" w:pos="96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Price</w:t>
      </w:r>
    </w:p>
    <w:p>
      <w:pPr>
        <w:spacing w:after="0" w:line="29" w:lineRule="exact"/>
        <w:rPr>
          <w:sz w:val="20"/>
          <w:szCs w:val="20"/>
          <w:color w:val="auto"/>
        </w:rPr>
      </w:pPr>
    </w:p>
    <w:tbl>
      <w:tblPr>
        <w:tblLayout w:type="fixed"/>
        <w:tblInd w:w="860" w:type="dxa"/>
        <w:tblCellMar>
          <w:top w:w="0" w:type="dxa"/>
          <w:left w:w="0" w:type="dxa"/>
          <w:bottom w:w="0" w:type="dxa"/>
          <w:right w:w="0" w:type="dxa"/>
        </w:tblCellMar>
      </w:tblP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 31, 2021</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36,317</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6"/>
                <w:szCs w:val="16"/>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724.25</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compensation expense for stock option grants of $0 and $1,290 six months ended June 30, 2022 and 2021,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no unrecognized compensation costs related to non-vested stock option awards under the 1999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Stock Options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granted two employment inducement stock option awards, one for 100,000 shares of common stock and the other for 250,000 shares of common stock, to its new CEO on July 6, 2021.</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employment inducement stock option for 100,000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$1.97 per share, the July 6, 2021 closing price of our common stock. As of June 30, 2022, none of the vesting milestones had been achieved and the options were subsequently cancelled. The estimated fair value of this inducement stock option award was $178,291 using a Black-Scholes option pricing model based on market prices and the following assumptions at the date</w:t>
      </w:r>
    </w:p>
    <w:p>
      <w:pPr>
        <w:sectPr>
          <w:pgSz w:w="11900" w:h="16838" w:orient="portrait"/>
          <w:cols w:equalWidth="0" w:num="1">
            <w:col w:w="11240"/>
          </w:cols>
          <w:pgMar w:left="320" w:top="125" w:right="339" w:bottom="0" w:gutter="0" w:footer="0" w:header="0"/>
        </w:sectPr>
      </w:pPr>
    </w:p>
    <w:bookmarkStart w:id="13" w:name="page14"/>
    <w:bookmarkEnd w:id="13"/>
    <w:p>
      <w:pPr>
        <w:ind w:right="160"/>
        <w:spacing w:after="0" w:line="277" w:lineRule="auto"/>
        <w:rPr>
          <w:sz w:val="20"/>
          <w:szCs w:val="20"/>
          <w:color w:val="auto"/>
        </w:rPr>
      </w:pPr>
      <w:r>
        <w:rPr>
          <w:rFonts w:ascii="Arial" w:cs="Arial" w:eastAsia="Arial" w:hAnsi="Arial"/>
          <w:sz w:val="18"/>
          <w:szCs w:val="18"/>
          <w:color w:val="auto"/>
        </w:rPr>
        <w:t>of inducement option grant: risk-free interest rate of 1.37%, dividend yield of 0%, volatility factor for our common stock of 103.50% and an expected life of 10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employment inducement stock option award for 250,000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$1.97 per share, the July 6, 2021 closing price of our common stock. As of June 30, 2022, none of the vesting milestones have been achieved. 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granted an employment inducement stock option award for 250,000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$1.78 per share, the January 15, 2021 closing price of our common stock. As of June 30, 2022, none of the remaining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1.11%, dividend yield of 0%, volatility factor for our common stock of 103.94% and an expected life of 10 years.</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Inducement stock option compensation expense totaled $46,722 and $93,446 for the three and six months ended June 30, 2022, respectively. As of June 30, 2022, there was approximately $495,000 of remaining unrecognized compensation expense related to these inducement 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2021. All references in this Quarterly Report to “Tenax Therapeutics,” “we,” “our” and “us” means Tenax Therapeutics,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to include two product dose forms containing levosimendan, in capsule and solid dosage form, and a subcutaneously administered product containing levosimendan, subject to specified limitations.</w:t>
      </w:r>
    </w:p>
    <w:p>
      <w:pPr>
        <w:spacing w:after="0" w:line="1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January 15, 2021, we acquired 100% of the equity of PHPrecisionMed Inc., a Delaware corporation, or PHPM, with PHPM surviving as our wholly-owned subsidiary. As a result of the merger, we plan to develop and commercialize pharmaceutical products containing imatinib for the treatment of pulmonary arterial hypertension, or PAH.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ectPr>
          <w:pgSz w:w="11900" w:h="16838" w:orient="portrait"/>
          <w:cols w:equalWidth="0" w:num="1">
            <w:col w:w="11240"/>
          </w:cols>
          <w:pgMar w:left="320" w:top="125" w:right="339" w:bottom="0" w:gutter="0" w:footer="0" w:header="0"/>
        </w:sectPr>
      </w:pPr>
    </w:p>
    <w:bookmarkStart w:id="14" w:name="page15"/>
    <w:bookmarkEnd w:id="14"/>
    <w:p>
      <w:pPr>
        <w:ind w:right="260"/>
        <w:spacing w:after="0" w:line="277" w:lineRule="auto"/>
        <w:rPr>
          <w:sz w:val="20"/>
          <w:szCs w:val="20"/>
          <w:color w:val="auto"/>
        </w:rPr>
      </w:pPr>
      <w:r>
        <w:rPr>
          <w:rFonts w:ascii="Arial" w:cs="Arial" w:eastAsia="Arial" w:hAnsi="Arial"/>
          <w:sz w:val="18"/>
          <w:szCs w:val="18"/>
          <w:color w:val="auto"/>
        </w:rPr>
        <w:t>Our principal business objective is to identify, develop, and commercialize late-stage pharmaceutical therapeutic products for serious cardiovascular and pulmonary diseases with high unmet medical need. The key elements of our business strategy are outlined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900" w:right="14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Efficiently conduct clinical development to establish clinical proof of principle in new indications, refine formulation, and commence Phase 3 testing of our current product candidates.</w:t>
      </w:r>
    </w:p>
    <w:p>
      <w:pPr>
        <w:spacing w:after="0" w:line="170" w:lineRule="exact"/>
        <w:rPr>
          <w:rFonts w:ascii="Arial" w:cs="Arial" w:eastAsia="Arial" w:hAnsi="Arial"/>
          <w:sz w:val="18"/>
          <w:szCs w:val="18"/>
          <w:color w:val="auto"/>
        </w:rPr>
      </w:pPr>
    </w:p>
    <w:p>
      <w:pPr>
        <w:ind w:left="900" w:right="40"/>
        <w:spacing w:after="0" w:line="291" w:lineRule="auto"/>
        <w:rPr>
          <w:rFonts w:ascii="Arial" w:cs="Arial" w:eastAsia="Arial" w:hAnsi="Arial"/>
          <w:sz w:val="18"/>
          <w:szCs w:val="18"/>
          <w:color w:val="auto"/>
        </w:rPr>
      </w:pPr>
      <w:r>
        <w:rPr>
          <w:rFonts w:ascii="Arial" w:cs="Arial" w:eastAsia="Arial" w:hAnsi="Arial"/>
          <w:sz w:val="16"/>
          <w:szCs w:val="16"/>
          <w:color w:val="auto"/>
        </w:rPr>
        <w:t>Levosimendan and imatinib have been approved and prescribed globally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w:t>
      </w:r>
    </w:p>
    <w:p>
      <w:pPr>
        <w:spacing w:after="0" w:line="166" w:lineRule="exact"/>
        <w:rPr>
          <w:rFonts w:ascii="Arial" w:cs="Arial" w:eastAsia="Arial" w:hAnsi="Arial"/>
          <w:sz w:val="18"/>
          <w:szCs w:val="18"/>
          <w:color w:val="auto"/>
        </w:rPr>
      </w:pPr>
    </w:p>
    <w:p>
      <w:pPr>
        <w:ind w:left="900" w:right="240" w:hanging="447"/>
        <w:spacing w:after="0" w:line="182" w:lineRule="auto"/>
        <w:tabs>
          <w:tab w:leader="none" w:pos="900" w:val="left"/>
        </w:tabs>
        <w:numPr>
          <w:ilvl w:val="0"/>
          <w:numId w:val="5"/>
        </w:numPr>
        <w:rPr>
          <w:rFonts w:ascii="Arial" w:cs="Arial" w:eastAsia="Arial" w:hAnsi="Arial"/>
          <w:sz w:val="34"/>
          <w:szCs w:val="34"/>
          <w:color w:val="auto"/>
          <w:vertAlign w:val="subscript"/>
        </w:rPr>
      </w:pPr>
      <w:r>
        <w:rPr>
          <w:rFonts w:ascii="Arial" w:cs="Arial" w:eastAsia="Arial" w:hAnsi="Arial"/>
          <w:sz w:val="17"/>
          <w:szCs w:val="17"/>
          <w:i w:val="1"/>
          <w:iCs w:val="1"/>
          <w:color w:val="auto"/>
        </w:rPr>
        <w:t>Efficiently explore new high-potential therapeutic applications, in particular where expedited regulatory pathways are available, leveraging third-party research collaborations and our results from related areas</w:t>
      </w:r>
      <w:r>
        <w:rPr>
          <w:rFonts w:ascii="Arial" w:cs="Arial" w:eastAsia="Arial" w:hAnsi="Arial"/>
          <w:sz w:val="17"/>
          <w:szCs w:val="17"/>
          <w:color w:val="auto"/>
        </w:rPr>
        <w:t>.</w:t>
      </w:r>
    </w:p>
    <w:p>
      <w:pPr>
        <w:spacing w:after="0" w:line="203" w:lineRule="exact"/>
        <w:rPr>
          <w:rFonts w:ascii="Arial" w:cs="Arial" w:eastAsia="Arial" w:hAnsi="Arial"/>
          <w:sz w:val="34"/>
          <w:szCs w:val="34"/>
          <w:color w:val="auto"/>
          <w:vertAlign w:val="subscript"/>
        </w:rPr>
      </w:pPr>
    </w:p>
    <w:p>
      <w:pPr>
        <w:ind w:left="900"/>
        <w:spacing w:after="0" w:line="257" w:lineRule="auto"/>
        <w:rPr>
          <w:rFonts w:ascii="Arial" w:cs="Arial" w:eastAsia="Arial" w:hAnsi="Arial"/>
          <w:sz w:val="34"/>
          <w:szCs w:val="34"/>
          <w:color w:val="auto"/>
          <w:vertAlign w:val="subscript"/>
        </w:rPr>
      </w:pPr>
      <w:r>
        <w:rPr>
          <w:rFonts w:ascii="Arial" w:cs="Arial" w:eastAsia="Arial" w:hAnsi="Arial"/>
          <w:sz w:val="18"/>
          <w:szCs w:val="18"/>
          <w:color w:val="auto"/>
        </w:rPr>
        <w:t>Levosimendan has shown promise in multiple disease areas in its two decades of use following its approval. In order to achieve our objectives of developing these medicines for new groups of patients, we have established collaborative research relationships with investigators from leading research and clinical institutions, and our strategic partners.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87" w:lineRule="exact"/>
        <w:rPr>
          <w:rFonts w:ascii="Arial" w:cs="Arial" w:eastAsia="Arial" w:hAnsi="Arial"/>
          <w:sz w:val="34"/>
          <w:szCs w:val="34"/>
          <w:color w:val="auto"/>
          <w:vertAlign w:val="subscript"/>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 to expand our intellectual property portfolio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right="180"/>
        <w:spacing w:after="0" w:line="279" w:lineRule="auto"/>
        <w:rPr>
          <w:rFonts w:ascii="Arial" w:cs="Arial" w:eastAsia="Arial" w:hAnsi="Arial"/>
          <w:sz w:val="18"/>
          <w:szCs w:val="18"/>
          <w:color w:val="auto"/>
        </w:rPr>
      </w:pPr>
      <w:r>
        <w:rPr>
          <w:rFonts w:ascii="Arial" w:cs="Arial" w:eastAsia="Arial" w:hAnsi="Arial"/>
          <w:sz w:val="17"/>
          <w:szCs w:val="17"/>
          <w:color w:val="auto"/>
        </w:rPr>
        <w:t>Our intellectual property, and the confidentiality of all our company information, is important to our business and we take significant steps to protect its value. We 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alone or in combination with existing therapies, as well as other product candidates.</w:t>
      </w:r>
    </w:p>
    <w:p>
      <w:pPr>
        <w:spacing w:after="0" w:line="171" w:lineRule="exact"/>
        <w:rPr>
          <w:rFonts w:ascii="Arial" w:cs="Arial" w:eastAsia="Arial" w:hAnsi="Arial"/>
          <w:sz w:val="18"/>
          <w:szCs w:val="18"/>
          <w:color w:val="auto"/>
        </w:rPr>
      </w:pPr>
    </w:p>
    <w:p>
      <w:pPr>
        <w:ind w:left="900" w:right="40"/>
        <w:spacing w:after="0" w:line="254" w:lineRule="auto"/>
        <w:rPr>
          <w:rFonts w:ascii="Arial" w:cs="Arial" w:eastAsia="Arial" w:hAnsi="Arial"/>
          <w:sz w:val="18"/>
          <w:szCs w:val="18"/>
          <w:color w:val="auto"/>
        </w:rPr>
      </w:pPr>
      <w:r>
        <w:rPr>
          <w:rFonts w:ascii="Arial" w:cs="Arial" w:eastAsia="Arial" w:hAnsi="Arial"/>
          <w:sz w:val="18"/>
          <w:szCs w:val="18"/>
          <w:color w:val="auto"/>
        </w:rPr>
        <w:t>On January 4, 2022, the Company was issued US Pat. No. 11,213,524, entitled PHARMACEUTICAL COMPOSITIONS FOR SUBCUTANEOUS ADMINISTRATION OF LEVOSIMENDAN, which is directed towards the use of levosimendan via subcutaneous administration for treating a subject having a health condition of any kind, such as heart failure, pulmonary hypertension including PH-HFpEF, chronic kidney disease, stroke, or other health conditions. The patent is expected to expire no earlier than 2039, exclusive of any possible extensions. The Company also has a PCT international application pending, with a U.S. counterpart already under examination, that describes and claims methods of treating the Company’s first intended clinical indication, PH-HFpEF, by providing levosimendan by any route of administration.</w:t>
      </w:r>
    </w:p>
    <w:p>
      <w:pPr>
        <w:spacing w:after="0" w:line="194"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Enter into licensing or product co-development arrangements.</w:t>
      </w:r>
    </w:p>
    <w:p>
      <w:pPr>
        <w:spacing w:after="0" w:line="225" w:lineRule="exact"/>
        <w:rPr>
          <w:sz w:val="20"/>
          <w:szCs w:val="20"/>
          <w:color w:val="auto"/>
        </w:rPr>
      </w:pPr>
    </w:p>
    <w:p>
      <w:pPr>
        <w:ind w:left="900" w:right="140"/>
        <w:spacing w:after="0" w:line="263" w:lineRule="auto"/>
        <w:rPr>
          <w:sz w:val="20"/>
          <w:szCs w:val="20"/>
          <w:color w:val="auto"/>
        </w:rPr>
      </w:pPr>
      <w:r>
        <w:rPr>
          <w:rFonts w:ascii="Arial" w:cs="Arial" w:eastAsia="Arial" w:hAnsi="Arial"/>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we focus on the development of our existing product candidates,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Historically, we have financed our operations principally through equity and debt offerings, including private placements and loans from our stockholders. Based on our current operating plan, there is substantial doubt about our ability to continue as going concern. Our ability to continue as a going concern depends on our ability to raise additional capital, through the sale of equity or debt securities and through collaboration and licensing agreements, to support our future operations. If we are unable to secure additional capital, we may be required to curtail our research and development initiatives and take additional measures to reduce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continued spread of COVID-19, including variant strains, globally, may affect our operations, including the potential interruption of our clinical trial activities and our supply chain. The continued spread of COVID-19 may result in a period of continued or recurring business disruption in these and other areas impacting our business, including the establishment of contractual relationships with investigators enrolling subjects in our clinical trials, the continuity of care provided by these institutions to the patients we seek to enroll and their ability to support industry-funded research as a means of caring for their patients, supply of these sites with study materials, and the enrollment of subjects and their adherence with study requirements. In addition, there could be a potential effect of COVID-19 to the business at FDA or other health authorities, which could result in delays of reviews and approvals, including with respect to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ectPr>
          <w:pgSz w:w="11900" w:h="16838" w:orient="portrait"/>
          <w:cols w:equalWidth="0" w:num="1">
            <w:col w:w="11240"/>
          </w:cols>
          <w:pgMar w:left="320" w:top="125" w:right="33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Results of Operations - Comparison of the Three Months Ended June 30, 2022 and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General and administrative expenses were $1.4 million for the three months ended June 30, 2022, compared to $1.3 million for the same period in 2021.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June 30, 2022 and 2021, respectively,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2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545,208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711,174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528,684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343,122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185,562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52,077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Facilities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35,235</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40,759</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Personnel costs decreased approximately $166,000 for the three months ended June 30, 2022, compared to the same period in the prior year. The decrease was primarily due to headcount reductions in the current period, compared to the same period in the prior year.</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Legal and professional fees increased approximately $186,000 for the three months ended June 30, 2022, compared to the same period in the prior year. Professional fees consist of costs incurred for accounting fees, capital market expenses, consulting fees and investor relations services, as well as fees paid to the members of our Board of Directors.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Legal fees increased approximately $193,000 for the three months ended June 30, 2022, compared to the same period in the prior year. The increase was primarily due to the legal fees associated with securities filings, outsourcing the in-house legal function and IP costs that were not incurred during the same period in the prior year.</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Professional fees decreased approximately $7,000 for the three months ended June 30, 2022, compared to the same period in the prior year. The decrease was primarily attributable to a reduction in director fees and capital market fees, offset by an increase consulting expenses that were not incurred in the prior period.</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Other costs increased approximately $52,000 for the three months ended June 30, 2022, compared to the same period in the prior year. Other costs include expenses incurred for franchise and other taxes, travel, supplies, insurance, depreciation and other miscellaneous charges. The increase was primarily attributable to increased costs for insurance and travel expenses, offset by decreases in franchise and other taxes.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Facilities costs include costs paid for rent and utilities at our corporate headquarters in North Carolina. Facilities costs remained relatively unchanged for the three months ended June 30, 2022 and 2021. The decrease of approximately $6,000 was due to a maintenance credit applied in the current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$1.5 million for the three months ended June 30, 2022, compared to $693,000 for the same period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Research and development expenses include, but are not limited to, (i) expenses incurred under agreements with contract research organizations,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CROs, and investigative sites, which conduct our clinical trials and a substantial portion of our pre-clinical studies; (ii) the cost of supplying clinical trial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materials; (iii) payments to contract service organizations, as well as consultants; (iv) employee-related expenses, which include salaries and benefits; and</w:t>
      </w:r>
    </w:p>
    <w:p>
      <w:pPr>
        <w:spacing w:after="0" w:line="32" w:lineRule="exact"/>
        <w:rPr>
          <w:sz w:val="20"/>
          <w:szCs w:val="20"/>
          <w:color w:val="auto"/>
        </w:rPr>
      </w:pPr>
    </w:p>
    <w:p>
      <w:pPr>
        <w:ind w:right="160" w:firstLine="8"/>
        <w:spacing w:after="0" w:line="302"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June 30, 2022 and 2021, respectively,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2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9"/>
              </w:rPr>
              <w:t>Three months ended June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1,377,402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548,909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828,493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Personnel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140,230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142,707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Clinical and preclinical development costs increased approximately $828,000 for the three months ended June 30, 2022,compared to the same period in the prior year. Clinical and preclinical development costs consist of expenses associated with our ongoing Phase 2 HELP Open Label Extension Study for levosimendan, costs associated with our imatinib Phase 1 Pharmacokinetics Study, imatinib Phase 3 IMPROVE Study, and development costs associated with the formulation for imatinib. The increase is primarily attributable to costs associated with formulation development and Phase 3 costs associated with imatinib in the current period that were not incurred in the same period in the prior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remained relatively unchanged for the three months ended June 30, 2022 and 2021.</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costs increased approximately $5,000 for the three months ended June 30, 2022, compared to the same period in the prior year, primarily due to travel and conference expenses incurred in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ectPr>
          <w:pgSz w:w="11900" w:h="16838" w:orient="portrait"/>
          <w:cols w:equalWidth="0" w:num="1">
            <w:col w:w="11240"/>
          </w:cols>
          <w:pgMar w:left="320" w:top="125" w:right="339" w:bottom="119" w:gutter="0" w:footer="0" w:header="0"/>
        </w:sectPr>
      </w:pPr>
    </w:p>
    <w:bookmarkStart w:id="16" w:name="page17"/>
    <w:bookmarkEnd w:id="16"/>
    <w:p>
      <w:pPr>
        <w:spacing w:after="0" w:line="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income decreased approximately $245,000 for the three months ended June 30, 2022, compared to the same period in the prior year. This decrease is due primarily to the forgiveness of our PPP Loan in the prior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Comparison of the Six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were $2.9 million for the six months ended June 30, 2022, compared to $2.6 million for the same period in</w:t>
      </w:r>
    </w:p>
    <w:p>
      <w:pPr>
        <w:spacing w:after="0" w:line="35"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2021.General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six months ended June 30, 2022 and 2021,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1,127,915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1,506,684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(378,769)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1,250,232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725,670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524,562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426,147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95,279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Facilities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73,877</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81,516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r>
    </w:tbl>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Personnel costs decreased approximately $379,000 for the six months ended June 30, 2022, compared to the same period in the prior year. The decrease was primarily due to headcount reductions in the current period, compared to the same period in the prior year.</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Legal and professional fees increased approximately $525,000 for the six months ended June 30, 2022, compared to the same period in the prior year. Professional fees consist of costs incurred for accounting fees, capital market expenses, consulting fees and investor relations services, as well as fees paid to the members of our Board of Directors.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Legal fees increased approximately $430,000 for the six months ended June 30, 2022, compared to the same period in the prior year. The increase was primarily due to the legal fees associated with securities filings, outsourcing the in-house legal function and IP costs that were not incurred during the same period in the prior year.</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Professional fees increased approximately $95,000 for the six months ended June 30, 2022, compared to the same period in the prior year. The increase was primarily attributable to increased consulting and capital market fees offset by a decrease in accounting costs and director fees.</w:t>
      </w:r>
    </w:p>
    <w:p>
      <w:pPr>
        <w:spacing w:after="0" w:line="14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Other costs increased approximately $95,000 for the six months ended June 30, 2022, compared to the same period in the prior year. Other costs include expenses incurred for franchise and other taxes, travel, supplies, insurance, depreciation and other miscellaneous charges. The increase was primarily attributable to increased costs for insurance, dues and travel expenses offset by decreases in franchise and other taxes.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Facilities costs include costs paid for rent and utilities at our corporate headquarters in North Carolina. Facilities costs remained relatively unchanged for the six months ended June 30, 2022 and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Research and development expenses were $2.7 million for the six months ended June 30, 2022, compared to $23.0 million for the same period in the prior year. Research and development expenses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w:t>
      </w:r>
    </w:p>
    <w:p>
      <w:pPr>
        <w:spacing w:after="0" w:line="1" w:lineRule="exact"/>
        <w:rPr>
          <w:sz w:val="20"/>
          <w:szCs w:val="20"/>
          <w:color w:val="auto"/>
        </w:rPr>
      </w:pPr>
    </w:p>
    <w:p>
      <w:pPr>
        <w:ind w:right="160" w:firstLine="8"/>
        <w:spacing w:after="0" w:line="30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six months ended June 30, 2022 and 2021, respectively,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Increase/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2,374,901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1,049,087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1,325,814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319,537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278,949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40,588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21,741,388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(21,733,466)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Clinical and preclinical development costs increased approximately $1.3 million for the six months ended June 30, 2022, compared to the same period in the prior year. Clinical and preclinical development costs consist of expenses associated with our ongoing Phase 2 HELP Open Label Extension Study for levosimendan, costs associated with our imatinib Phase 1 Pharmacokinetics Study, imatinib Phase 3 IMPROVE Study, and development costs associated with the formulation for imatinib. The increase is primarily attributable to an approximately $220,000 increase in costs associated with formulation development, approximately $267,000 increase in our Phase 1 trial and approximately $1.13 million of Phase 3 costs associated with imatinib in the current</w:t>
      </w:r>
    </w:p>
    <w:p>
      <w:pPr>
        <w:sectPr>
          <w:pgSz w:w="11900" w:h="16850" w:orient="portrait"/>
          <w:cols w:equalWidth="0" w:num="1">
            <w:col w:w="11240"/>
          </w:cols>
          <w:pgMar w:left="320" w:top="125" w:right="339" w:bottom="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t>period that were not incurred in the same period in the prior year. These expenses were offset by a decrease of approximately $300,000 of costs associated with our levosimendan ongoing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increased approximately $41,000 for the six months ended June 30, 2022, compared to the same period in the prior year.</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costs decreased approximately $21.7 million for the six months ended June 30, 2022, compared to the same period in the prior year, primarily attributable to the recognition of in-process research and development acquired as part of the merger with PHPM in the prior period. There were no such expenses incurred in the same period in the current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income decreased approximately $248,000 for the six months ended June 30, 2022, compared to the same period in the prior year. This decrease is due primarily to the forgiveness of our PPP Loan in the prior period .</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Plan of Operation</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have incurred losses since our inception and, as of June 30, 2022, we had an accumulated deficit of approximately $284.1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financed our operations since September 1990 through the issuance of debt and equity securities and loans from stockholders. We had total current assets of $8.1 million and $5.7 million and working capital of $6.7 million and $4.1 million as of June 30, 2022 and December 31, 2021, respectively. Our practice is to invest excess cash, where available, in short-term money market investment instruments and high quality corporate and government bonds.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Cash Flows</w:t>
            </w: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10"/>
        </w:trPr>
        <w:tc>
          <w:tcPr>
            <w:tcW w:w="8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(6,368,886)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 (5,066,239)</w:t>
            </w:r>
          </w:p>
        </w:tc>
      </w:tr>
      <w:tr>
        <w:trPr>
          <w:trHeight w:val="216"/>
        </w:trPr>
        <w:tc>
          <w:tcPr>
            <w:tcW w:w="8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40" w:type="dxa"/>
            <w:vAlign w:val="bottom"/>
            <w:gridSpan w:val="3"/>
          </w:tcPr>
          <w:p>
            <w:pPr>
              <w:jc w:val="right"/>
              <w:ind w:right="80"/>
              <w:spacing w:after="0"/>
              <w:rPr>
                <w:sz w:val="20"/>
                <w:szCs w:val="20"/>
                <w:color w:val="auto"/>
              </w:rPr>
            </w:pPr>
            <w:r>
              <w:rPr>
                <w:rFonts w:ascii="Arial" w:cs="Arial" w:eastAsia="Arial" w:hAnsi="Arial"/>
                <w:sz w:val="18"/>
                <w:szCs w:val="18"/>
                <w:color w:val="auto"/>
              </w:rPr>
              <w:t>(6,323)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(57,231)</w:t>
            </w:r>
          </w:p>
        </w:tc>
      </w:tr>
      <w:tr>
        <w:trPr>
          <w:trHeight w:val="216"/>
        </w:trPr>
        <w:tc>
          <w:tcPr>
            <w:tcW w:w="8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8,020,466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544,651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Net cash used in operating activities. </w:t>
      </w:r>
      <w:r>
        <w:rPr>
          <w:rFonts w:ascii="Arial" w:cs="Arial" w:eastAsia="Arial" w:hAnsi="Arial"/>
          <w:sz w:val="17"/>
          <w:szCs w:val="17"/>
          <w:color w:val="auto"/>
        </w:rPr>
        <w:t>Net cash used in operating activities was approximately $6.4 million for the six months ended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$5.1 million for the six months ended June 30, 2021. The increase in cash used for operating activities was primarily due to an increase in prepaid expenses, offset by a decrease in our accounts payable in the current period, compared to the prior year.</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Net cash used in investing activities</w:t>
      </w:r>
      <w:r>
        <w:rPr>
          <w:rFonts w:ascii="Arial" w:cs="Arial" w:eastAsia="Arial" w:hAnsi="Arial"/>
          <w:sz w:val="18"/>
          <w:szCs w:val="18"/>
          <w:color w:val="auto"/>
        </w:rPr>
        <w:t>. Net cash used in investing activities was $6,323 for the six months ended June 30, 2022, compared to $57,231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The decrease in cash used in investing activities was primarily due to the purchase of marketable securities in the prior period where no such purchases were made in the current period.</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Net cash provided by financing activities was approximately $8.1 million for the six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$544,651 in the six months ended June 30, 2021. The increase in cash provided by financing activities was primarily due to the net proceeds of approximately $7.9 million from the May 2022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20" w:hanging="46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candidates and potential product candidates;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that may be caused by the global coronavirus pandemic;</w:t>
      </w:r>
    </w:p>
    <w:p>
      <w:pPr>
        <w:sectPr>
          <w:pgSz w:w="11900" w:h="16838" w:orient="portrait"/>
          <w:cols w:equalWidth="0" w:num="1">
            <w:col w:w="11240"/>
          </w:cols>
          <w:pgMar w:left="320" w:top="125" w:right="339" w:bottom="0" w:gutter="0" w:footer="0" w:header="0"/>
        </w:sectPr>
      </w:pPr>
    </w:p>
    <w:bookmarkStart w:id="18" w:name="page19"/>
    <w:bookmarkEnd w:id="18"/>
    <w:p>
      <w:pPr>
        <w:ind w:left="920" w:hanging="467"/>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working capital on June 30, 2022, we believe we have sufficient capital on hand to continue to fund operations through the fourth quarter of calendar year 2022.</w:t>
      </w:r>
    </w:p>
    <w:p>
      <w:pPr>
        <w:spacing w:after="0" w:line="170"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We will need substantial additional capital beyond the fourth quarter of calendar year 2022 and in the future in order to complete the regulatory approval and commercialization of imatinib and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2021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2021 and Note 2 to our unaudited condensed consolidated financial statements included in Part I, Item 1 of this Quarterly Report on Form 10-Q.</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ectPr>
          <w:pgSz w:w="11900" w:h="16838" w:orient="portrait"/>
          <w:cols w:equalWidth="0" w:num="1">
            <w:col w:w="11240"/>
          </w:cols>
          <w:pgMar w:left="320" w:top="341" w:right="339" w:bottom="173" w:gutter="0" w:footer="0" w:header="0"/>
        </w:sectPr>
      </w:pPr>
    </w:p>
    <w:bookmarkStart w:id="19" w:name="page20"/>
    <w:bookmarkEnd w:id="19"/>
    <w:p>
      <w:pPr>
        <w:ind w:right="80"/>
        <w:spacing w:after="0" w:line="259" w:lineRule="auto"/>
        <w:rPr>
          <w:sz w:val="20"/>
          <w:szCs w:val="20"/>
          <w:color w:val="auto"/>
        </w:rPr>
      </w:pPr>
      <w:r>
        <w:rPr>
          <w:rFonts w:ascii="Arial" w:cs="Arial" w:eastAsia="Arial" w:hAnsi="Arial"/>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Based on their evaluation, our President and Chief Executive Officer and Interim Chief Financial Officer concluded that our disclosure controls and procedures were effective as of June 30, 2022,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risks we face have not materially changed from those disclosed in our Annual Report on Form 10-K for the year ended December 31,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July 9, 2022, in consideration for their service, we granted stock options to purchase our common stock to certain of our employees and non-employee directors under our 2022 Stock Incentive Plan. The options are exercisable into an aggregate of 571,250 shares of our common stock and have an exercise price of $0.62 per share. The options granted to our employees will vest in equal annual installments on the anniversary of the date of grant over four years. The options granted to our non-employee directors will vest in full on the first anniversary of the date of grant. The offer, sale and issuance of these options was exempt from registration under Section 4(a)(2) of the Securities Act, as a transaction not involving a public offering.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or furnished as part of this Quarterly Report on Form 10-Q and are numbered in accordance with Item 601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 S-K: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6"/>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r:id="rId4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20" w:type="dxa"/>
            <w:vAlign w:val="bottom"/>
            <w:gridSpan w:val="11"/>
            <w:shd w:val="clear" w:color="auto" w:fill="CCEEFF"/>
          </w:tcPr>
          <w:p>
            <w:pPr>
              <w:spacing w:after="0" w:line="17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Form of Pre-Funded Warrant (2022) (incorporated herein by reference to Exhibit 4.1 to our Current Report on Form 8-K filed with the</w:t>
              </w:r>
            </w:hyperlink>
          </w:p>
        </w:tc>
      </w:tr>
      <w:tr>
        <w:trPr>
          <w:trHeight w:val="216"/>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SEC on May 20, 2022).</w:t>
              </w:r>
            </w:hyperlink>
          </w:p>
        </w:tc>
        <w:tc>
          <w:tcPr>
            <w:tcW w:w="796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76"/>
        </w:trPr>
        <w:tc>
          <w:tcPr>
            <w:tcW w:w="240" w:type="dxa"/>
            <w:vAlign w:val="bottom"/>
            <w:tcBorders>
              <w:bottom w:val="single" w:sz="8" w:color="0000EE"/>
            </w:tcBorders>
          </w:tcPr>
          <w:p>
            <w:pPr>
              <w:spacing w:after="0" w:line="176" w:lineRule="exact"/>
              <w:rPr>
                <w:rFonts w:ascii="Arial" w:cs="Arial" w:eastAsia="Arial" w:hAnsi="Arial"/>
                <w:sz w:val="18"/>
                <w:szCs w:val="18"/>
                <w:color w:val="0000EE"/>
                <w:w w:val="87"/>
              </w:rPr>
            </w:pPr>
            <w:hyperlink r:id="rId4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8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Form of Series E Common Stock Warrant (2022) (incorporated herein by reference to Exhibit 4.2 to our Current Report on Form 8-K filed</w:t>
              </w:r>
            </w:hyperlink>
          </w:p>
        </w:tc>
        <w:tc>
          <w:tcPr>
            <w:tcW w:w="40" w:type="dxa"/>
            <w:vAlign w:val="bottom"/>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gridSpan w:val="11"/>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with the SEC on May 20, 2022).</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line="176" w:lineRule="exact"/>
              <w:rPr>
                <w:rFonts w:ascii="Arial" w:cs="Arial" w:eastAsia="Arial" w:hAnsi="Arial"/>
                <w:sz w:val="18"/>
                <w:szCs w:val="18"/>
                <w:color w:val="0000EE"/>
                <w:w w:val="87"/>
              </w:rPr>
            </w:pPr>
            <w:hyperlink r:id="rId4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20" w:type="dxa"/>
            <w:vAlign w:val="bottom"/>
            <w:gridSpan w:val="11"/>
            <w:shd w:val="clear" w:color="auto" w:fill="CCEEFF"/>
          </w:tcPr>
          <w:p>
            <w:pPr>
              <w:spacing w:after="0" w:line="17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Warrant Amendment Agreement, dated as of May 17, 2022, by and between the Company and the Investor (incorporated herein by</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4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reference to Exhibit 4.3 to our Current Report on Form 8-K filed with the SEC on May 20, 2022).</w:t>
              </w:r>
            </w:hyperlink>
          </w:p>
        </w:tc>
        <w:tc>
          <w:tcPr>
            <w:tcW w:w="580" w:type="dxa"/>
            <w:vAlign w:val="bottom"/>
            <w:tcBorders>
              <w:top w:val="single" w:sz="8" w:color="CCEEFF"/>
            </w:tcBorders>
            <w:gridSpan w:val="4"/>
            <w:shd w:val="clear" w:color="auto" w:fill="CCEEFF"/>
          </w:tcPr>
          <w:p>
            <w:pPr>
              <w:spacing w:after="0"/>
              <w:rPr>
                <w:sz w:val="17"/>
                <w:szCs w:val="17"/>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7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20" w:type="dxa"/>
            <w:vAlign w:val="bottom"/>
            <w:gridSpan w:val="11"/>
          </w:tcPr>
          <w:p>
            <w:pPr>
              <w:spacing w:after="0" w:line="17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Securities Purchase Agreement for Units, dated as of May 17, 2022, by and between the Company and the Investor (incorporated herein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by reference to Exhibit 10.1 to our Current Report on Form 8-K filed with the SEC on May 20, 2022).</w:t>
              </w:r>
            </w:hyperlink>
          </w:p>
        </w:tc>
        <w:tc>
          <w:tcPr>
            <w:tcW w:w="160" w:type="dxa"/>
            <w:vAlign w:val="bottom"/>
            <w:gridSpan w:val="2"/>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20" w:type="dxa"/>
            <w:vAlign w:val="bottom"/>
            <w:gridSpan w:val="11"/>
            <w:shd w:val="clear" w:color="auto" w:fill="CCEEFF"/>
          </w:tcPr>
          <w:p>
            <w:pPr>
              <w:spacing w:after="0" w:line="176" w:lineRule="exact"/>
              <w:rPr>
                <w:rFonts w:ascii="Arial" w:cs="Arial" w:eastAsia="Arial" w:hAnsi="Arial"/>
                <w:sz w:val="18"/>
                <w:szCs w:val="18"/>
                <w:color w:val="0000EE"/>
                <w:w w:val="96"/>
              </w:rPr>
            </w:pPr>
            <w:hyperlink r:id="rId51">
              <w:r>
                <w:rPr>
                  <w:rFonts w:ascii="Arial" w:cs="Arial" w:eastAsia="Arial" w:hAnsi="Arial"/>
                  <w:sz w:val="18"/>
                  <w:szCs w:val="18"/>
                  <w:color w:val="0000EE"/>
                  <w:w w:val="96"/>
                </w:rPr>
                <w:t>Registration Rights Agreement, dated as of May 17, 2022, by and between the Company and the Investor (incorporated herein by</w:t>
              </w:r>
            </w:hyperlink>
          </w:p>
        </w:tc>
      </w:tr>
      <w:tr>
        <w:trPr>
          <w:trHeight w:val="217"/>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14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reference to Exhibit 10.2 to our Current Report on Form 8-K filed with the SEC on May 20, 2022).</w:t>
              </w:r>
            </w:hyperlink>
          </w:p>
        </w:tc>
        <w:tc>
          <w:tcPr>
            <w:tcW w:w="218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5"/>
            <w:shd w:val="clear" w:color="auto" w:fill="CCEEFF"/>
          </w:tcPr>
          <w:p>
            <w:pPr>
              <w:spacing w:after="0"/>
              <w:rPr>
                <w:sz w:val="18"/>
                <w:szCs w:val="18"/>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w w:val="87"/>
              </w:rPr>
            </w:pPr>
            <w:hyperlink r:id="rId52">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3+</w:t>
              </w:r>
            </w:hyperlink>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20" w:type="dxa"/>
            <w:vAlign w:val="bottom"/>
            <w:gridSpan w:val="11"/>
          </w:tcPr>
          <w:p>
            <w:pPr>
              <w:spacing w:after="0" w:line="17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Tenax Therapeutics, Inc. 2022 Stock Incentive Plan (incorporated herein by reference to Exhibit 10.1 to our Current Report on Form 8-K</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20" w:type="dxa"/>
            <w:vAlign w:val="bottom"/>
            <w:gridSpan w:val="12"/>
          </w:tcPr>
          <w:p>
            <w:pPr>
              <w:spacing w:after="0"/>
              <w:rPr>
                <w:rFonts w:ascii="Arial" w:cs="Arial" w:eastAsia="Arial" w:hAnsi="Arial"/>
                <w:sz w:val="18"/>
                <w:szCs w:val="18"/>
                <w:color w:val="0000EE"/>
              </w:rPr>
            </w:pPr>
            <w:hyperlink r:id="rId52">
              <w:r>
                <w:rPr>
                  <w:rFonts w:ascii="Arial" w:cs="Arial" w:eastAsia="Arial" w:hAnsi="Arial"/>
                  <w:sz w:val="18"/>
                  <w:szCs w:val="18"/>
                  <w:color w:val="0000EE"/>
                </w:rPr>
                <w:t>filed with the SEC on June 10, 2022).</w:t>
              </w:r>
            </w:hyperlink>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20" w:type="dxa"/>
            <w:vAlign w:val="bottom"/>
            <w:gridSpan w:val="12"/>
            <w:shd w:val="clear" w:color="auto" w:fill="CCEEFF"/>
          </w:tcPr>
          <w:p>
            <w:pPr>
              <w:spacing w:after="0" w:line="17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Form of Tenax Therapeutics, Inc. Notice of Stock Option Grant and Award Agreement (incorporated herein by reference to Exhibit 10.2 to</w:t>
              </w:r>
            </w:hyperlink>
          </w:p>
        </w:tc>
      </w:tr>
      <w:tr>
        <w:trPr>
          <w:trHeight w:val="217"/>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our Current Report on Form 8-K filed with the SEC on June 10, 2022).</w:t>
              </w:r>
            </w:hyperlink>
          </w:p>
        </w:tc>
        <w:tc>
          <w:tcPr>
            <w:tcW w:w="488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420" w:type="dxa"/>
            <w:vAlign w:val="bottom"/>
            <w:gridSpan w:val="2"/>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800" w:type="dxa"/>
            <w:vAlign w:val="bottom"/>
          </w:tcPr>
          <w:p>
            <w:pPr>
              <w:spacing w:after="0"/>
              <w:rPr>
                <w:sz w:val="15"/>
                <w:szCs w:val="15"/>
                <w:color w:val="auto"/>
              </w:rPr>
            </w:pPr>
          </w:p>
        </w:tc>
        <w:tc>
          <w:tcPr>
            <w:tcW w:w="10020" w:type="dxa"/>
            <w:vAlign w:val="bottom"/>
            <w:gridSpan w:val="12"/>
          </w:tcPr>
          <w:p>
            <w:pPr>
              <w:spacing w:after="0" w:line="17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Waiver, dated June 16, 2022 (incorporated herein by reference to Exhibit 10.1 to our Current Report on Form 8-K filed with the SEC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June 16, 2022).</w:t>
              </w:r>
            </w:hyperlink>
          </w:p>
        </w:tc>
        <w:tc>
          <w:tcPr>
            <w:tcW w:w="220" w:type="dxa"/>
            <w:vAlign w:val="bottom"/>
            <w:gridSpan w:val="3"/>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p>
        </w:tc>
        <w:tc>
          <w:tcPr>
            <w:tcW w:w="80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President and Chief Executive Officer pursuant to Section 302 of the Sarbanes Oxley Act of 2002.</w:t>
            </w:r>
          </w:p>
        </w:tc>
        <w:tc>
          <w:tcPr>
            <w:tcW w:w="178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420" w:type="dxa"/>
            <w:vAlign w:val="bottom"/>
            <w:gridSpan w:val="2"/>
          </w:tcPr>
          <w:p>
            <w:pPr>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800" w:type="dxa"/>
            <w:vAlign w:val="bottom"/>
          </w:tcPr>
          <w:p>
            <w:pPr>
              <w:spacing w:after="0"/>
              <w:rPr>
                <w:sz w:val="15"/>
                <w:szCs w:val="15"/>
                <w:color w:val="auto"/>
              </w:rPr>
            </w:pPr>
          </w:p>
        </w:tc>
        <w:tc>
          <w:tcPr>
            <w:tcW w:w="10020" w:type="dxa"/>
            <w:vAlign w:val="bottom"/>
            <w:gridSpan w:val="12"/>
          </w:tcPr>
          <w:p>
            <w:pPr>
              <w:spacing w:after="0" w:line="176" w:lineRule="exact"/>
              <w:rPr>
                <w:sz w:val="20"/>
                <w:szCs w:val="20"/>
                <w:color w:val="auto"/>
              </w:rPr>
            </w:pPr>
            <w:r>
              <w:rPr>
                <w:rFonts w:ascii="Arial" w:cs="Arial" w:eastAsia="Arial" w:hAnsi="Arial"/>
                <w:sz w:val="18"/>
                <w:szCs w:val="18"/>
                <w:color w:val="0000EE"/>
              </w:rPr>
              <w:t>Certification of Interim Chief Financial Officer pursuant to Section 302 of the Sarbanes Oxley Act of 2002.</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6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80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5"/>
              </w:rPr>
              <w:t>Certification of President and Chief Executive Officer pursuant to 18 U.S.C. Section 1350, as adopted pursuant to Section 906 of the</w:t>
            </w:r>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9560" w:type="dxa"/>
            <w:vAlign w:val="bottom"/>
            <w:tcBorders>
              <w:top w:val="single" w:sz="8" w:color="0000EE"/>
            </w:tcBorders>
            <w:gridSpan w:val="8"/>
            <w:shd w:val="clear" w:color="auto" w:fill="CCEEFF"/>
          </w:tcPr>
          <w:p>
            <w:pPr>
              <w:spacing w:after="0" w:line="196" w:lineRule="exact"/>
              <w:rPr>
                <w:sz w:val="20"/>
                <w:szCs w:val="20"/>
                <w:color w:val="auto"/>
              </w:rPr>
            </w:pPr>
            <w:r>
              <w:rPr>
                <w:rFonts w:ascii="Arial" w:cs="Arial" w:eastAsia="Arial" w:hAnsi="Arial"/>
                <w:sz w:val="18"/>
                <w:szCs w:val="18"/>
                <w:color w:val="0000EE"/>
              </w:rPr>
              <w:t>Sarbanes-Oxley Act of 2002.</w:t>
            </w:r>
          </w:p>
        </w:tc>
        <w:tc>
          <w:tcPr>
            <w:tcW w:w="460" w:type="dxa"/>
            <w:vAlign w:val="bottom"/>
            <w:tcBorders>
              <w:top w:val="single" w:sz="8" w:color="CCEEFF"/>
            </w:tcBorders>
            <w:gridSpan w:val="4"/>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2"/>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800" w:type="dxa"/>
            <w:vAlign w:val="bottom"/>
          </w:tcPr>
          <w:p>
            <w:pPr>
              <w:spacing w:after="0"/>
              <w:rPr>
                <w:sz w:val="15"/>
                <w:szCs w:val="15"/>
                <w:color w:val="auto"/>
              </w:rPr>
            </w:pPr>
          </w:p>
        </w:tc>
        <w:tc>
          <w:tcPr>
            <w:tcW w:w="10020" w:type="dxa"/>
            <w:vAlign w:val="bottom"/>
            <w:gridSpan w:val="12"/>
          </w:tcPr>
          <w:p>
            <w:pPr>
              <w:spacing w:after="0" w:line="176" w:lineRule="exact"/>
              <w:rPr>
                <w:sz w:val="20"/>
                <w:szCs w:val="20"/>
                <w:color w:val="auto"/>
              </w:rPr>
            </w:pPr>
            <w:r>
              <w:rPr>
                <w:rFonts w:ascii="Arial" w:cs="Arial" w:eastAsia="Arial" w:hAnsi="Arial"/>
                <w:sz w:val="18"/>
                <w:szCs w:val="18"/>
                <w:color w:val="0000EE"/>
                <w:w w:val="92"/>
              </w:rPr>
              <w:t>Certification of Interim Chief Financial Officer pursuant to 18 U.S.C. Section 1350, as adopted pursuant to Section 906 of the Sarbanes-</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Oxley Act of 2002.</w:t>
            </w:r>
          </w:p>
        </w:tc>
        <w:tc>
          <w:tcPr>
            <w:tcW w:w="200" w:type="dxa"/>
            <w:vAlign w:val="bottom"/>
            <w:gridSpan w:val="2"/>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800" w:type="dxa"/>
            <w:vAlign w:val="bottom"/>
            <w:shd w:val="clear" w:color="auto" w:fill="CCEEFF"/>
          </w:tcPr>
          <w:p>
            <w:pPr>
              <w:spacing w:after="0"/>
              <w:rPr>
                <w:sz w:val="17"/>
                <w:szCs w:val="17"/>
                <w:color w:val="auto"/>
              </w:rPr>
            </w:pPr>
          </w:p>
        </w:tc>
        <w:tc>
          <w:tcPr>
            <w:tcW w:w="10020" w:type="dxa"/>
            <w:vAlign w:val="bottom"/>
            <w:gridSpan w:val="12"/>
            <w:shd w:val="clear" w:color="auto" w:fill="CCEEFF"/>
          </w:tcPr>
          <w:p>
            <w:pPr>
              <w:spacing w:after="0" w:line="201" w:lineRule="exact"/>
              <w:rPr>
                <w:sz w:val="20"/>
                <w:szCs w:val="20"/>
                <w:color w:val="auto"/>
              </w:rPr>
            </w:pPr>
            <w:r>
              <w:rPr>
                <w:rFonts w:ascii="Arial" w:cs="Arial" w:eastAsia="Arial" w:hAnsi="Arial"/>
                <w:sz w:val="18"/>
                <w:szCs w:val="18"/>
                <w:color w:val="auto"/>
                <w:w w:val="94"/>
              </w:rPr>
              <w:t>Inline XBRL Document Set for the condensed consolidated financial statements and accompanying notes in Part I, Item 1, “Financial</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Statements” of this Quarterly Report on Form 10-Q.</w:t>
            </w: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800" w:type="dxa"/>
            <w:vAlign w:val="bottom"/>
          </w:tcPr>
          <w:p>
            <w:pPr>
              <w:spacing w:after="0"/>
              <w:rPr>
                <w:sz w:val="20"/>
                <w:szCs w:val="20"/>
                <w:color w:val="auto"/>
              </w:rPr>
            </w:pPr>
          </w:p>
        </w:tc>
        <w:tc>
          <w:tcPr>
            <w:tcW w:w="10020" w:type="dxa"/>
            <w:vAlign w:val="bottom"/>
            <w:gridSpan w:val="12"/>
          </w:tcPr>
          <w:p>
            <w:pPr>
              <w:spacing w:after="0"/>
              <w:rPr>
                <w:sz w:val="20"/>
                <w:szCs w:val="20"/>
                <w:color w:val="auto"/>
              </w:rPr>
            </w:pPr>
            <w:r>
              <w:rPr>
                <w:rFonts w:ascii="Arial" w:cs="Arial" w:eastAsia="Arial" w:hAnsi="Arial"/>
                <w:sz w:val="18"/>
                <w:szCs w:val="18"/>
                <w:color w:val="auto"/>
              </w:rPr>
              <w:t>Inline XBRL for the cover page of this Quarterly Report on Form 10-Q, included in the Exhibit 101 Inline XBRL Document Set.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Filed herewith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TENAX THERAPEUTICS, INC.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4942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T. Giordano, certify that:</w:t>
      </w:r>
    </w:p>
    <w:p>
      <w:pPr>
        <w:spacing w:after="0" w:line="2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0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467"/>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40" w:hanging="467"/>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600" w:hanging="467"/>
        <w:spacing w:after="0" w:line="342" w:lineRule="auto"/>
        <w:tabs>
          <w:tab w:leader="none" w:pos="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467"/>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467"/>
        <w:spacing w:after="0" w:line="308" w:lineRule="auto"/>
        <w:tabs>
          <w:tab w:leader="none" w:pos="9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467"/>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Christopher T. Giordano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Eliot M. Lurier, certify that:</w:t>
      </w:r>
    </w:p>
    <w:p>
      <w:pPr>
        <w:spacing w:after="0" w:line="22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00" w:hanging="452"/>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right="160" w:hanging="467"/>
        <w:spacing w:after="0" w:line="263"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40" w:hanging="467"/>
        <w:spacing w:after="0" w:line="263"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600" w:hanging="467"/>
        <w:spacing w:after="0" w:line="342"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60" w:hanging="467"/>
        <w:spacing w:after="0" w:line="263"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80" w:hanging="467"/>
        <w:spacing w:after="0" w:line="308" w:lineRule="auto"/>
        <w:tabs>
          <w:tab w:leader="none" w:pos="9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20" w:right="20" w:hanging="467"/>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CERTIFICATION PURSUANT TO 18 U.S.C. SECTION 1350, AS ADOPTED PURSUANT TO SECTION 906 OF THE SARBANES-OXLEY</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ACT OF 2002</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June 30, 2022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Christopher T. Giordano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CERTIFICATION PURSUANT TO 18 U.S.C. SECTION 1350, AS ADOPTED PURSUANT TO SECTION 906 OF THE SARBANES-OXLEY</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ACT OF 2002</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connection with the Quarterly Report of Tenax Therapeutics, Inc. (the “Company”) on Form 10-Q for the period ended June 30, 2022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67"/>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covered by the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Eliot M. Lurier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Roman"/>
      <w:start w:val="5"/>
    </w:lvl>
  </w:abstractNum>
  <w:abstractNum w:abstractNumId="6">
    <w:nsid w:val="216231B"/>
    <w:multiLevelType w:val="hybridMultilevel"/>
    <w:lvl w:ilvl="0">
      <w:lvlJc w:val="left"/>
      <w:lvlText w:val="(%1)"/>
      <w:numFmt w:val="lowerRoman"/>
      <w:start w:val="5"/>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47" Type="http://schemas.openxmlformats.org/officeDocument/2006/relationships/hyperlink" Target="http://www.sec.gov/Archives/edgar/data/34956/000165495422007316/tenx_ex41.htm" TargetMode="External"/><Relationship Id="rId48" Type="http://schemas.openxmlformats.org/officeDocument/2006/relationships/hyperlink" Target="http://www.sec.gov/Archives/edgar/data/34956/000165495422007316/tenx_ex42.htm" TargetMode="External"/><Relationship Id="rId49" Type="http://schemas.openxmlformats.org/officeDocument/2006/relationships/hyperlink" Target="http://www.sec.gov/Archives/edgar/data/34956/000165495422007316/tenx_ex43.htm" TargetMode="External"/><Relationship Id="rId50" Type="http://schemas.openxmlformats.org/officeDocument/2006/relationships/hyperlink" Target="http://www.sec.gov/Archives/edgar/data/34956/000165495422007316/tenx_ex101.htm" TargetMode="External"/><Relationship Id="rId51" Type="http://schemas.openxmlformats.org/officeDocument/2006/relationships/hyperlink" Target="http://www.sec.gov/Archives/edgar/data/34956/000165495422007316/tenx_ex102.htm" TargetMode="External"/><Relationship Id="rId52" Type="http://schemas.openxmlformats.org/officeDocument/2006/relationships/hyperlink" Target="http://www.sec.gov/Archives/edgar/data/34956/000165495422008221/tenx_ex101.htm" TargetMode="External"/><Relationship Id="rId53" Type="http://schemas.openxmlformats.org/officeDocument/2006/relationships/hyperlink" Target="http://www.sec.gov/Archives/edgar/data/34956/000165495422008221/tenx_ex102.htm" TargetMode="External"/><Relationship Id="rId54" Type="http://schemas.openxmlformats.org/officeDocument/2006/relationships/hyperlink" Target="http://www.sec.gov/Archives/edgar/data/34956/000165495422008452/tenx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2022-08-11T17:37:56Z</dcterms:created>
  <dcterms:modified xsi:type="dcterms:W3CDTF">2022-08-11T17:37:56Z</dcterms:modified>
</cp:coreProperties>
</file>