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ennx-20260331.htm"/>
        <w:bookmarkStart w:id="1" w:name="kstennx20260331"/>
        <w:bookmarkEnd w:id="0"/>
        <w:bookmarkEnd w:id="1"/>
        <w:r>
          <w:rPr>
            <w:rStyle w:val="InternetLink"/>
            <w:rFonts w:ascii="Times New Roman" w:hAnsi="Times New Roman"/>
            <w:b/>
            <w:color w:val="0000FF"/>
            <w:sz w:val="20"/>
            <w:u w:val="single"/>
          </w:rPr>
          <w:t>Table of Contents</w:t>
        </w:r>
      </w:hyperlink>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001-34600</w:t>
      </w:r>
    </w:p>
    <w:p>
      <w:pPr>
        <w:pStyle w:val="TextBody"/>
        <w:bidi w:val="0"/>
        <w:jc w:val="both"/>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TENAX THERAPEUTICS, INC.</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bl>
    <w:p>
      <w:pPr>
        <w:pStyle w:val="TextBody"/>
        <w:bidi w:val="0"/>
        <w:jc w:val="both"/>
        <w:rPr/>
      </w:pPr>
      <w:r>
        <w:rPr/>
        <w:t> </w:t>
      </w:r>
    </w:p>
    <w:tbl>
      <w:tblPr>
        <w:tblW w:w="5346" w:type="dxa"/>
        <w:jc w:val="left"/>
        <w:tblInd w:w="0" w:type="dxa"/>
        <w:tblLayout w:type="fixed"/>
        <w:tblCellMar>
          <w:top w:w="28" w:type="dxa"/>
          <w:left w:w="28" w:type="dxa"/>
          <w:bottom w:w="28" w:type="dxa"/>
          <w:right w:w="28" w:type="dxa"/>
        </w:tblCellMar>
      </w:tblPr>
      <w:tblGrid>
        <w:gridCol w:w="2101"/>
        <w:gridCol w:w="109"/>
        <w:gridCol w:w="31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26-2593535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101 Glen Lennox Drive, Suite 300, Chapel Hill, North Carolina</w:t>
      </w:r>
      <w:r>
        <w:rPr>
          <w:rFonts w:ascii="Times New Roman" w:hAnsi="Times New Roman"/>
          <w:color w:val="000000"/>
          <w:sz w:val="20"/>
          <w:u w:val="single"/>
        </w:rPr>
        <w:t xml:space="preserve"> </w:t>
      </w:r>
      <w:r>
        <w:rPr>
          <w:rFonts w:ascii="Times New Roman" w:hAnsi="Times New Roman"/>
          <w:b/>
          <w:color w:val="000000"/>
          <w:sz w:val="20"/>
          <w:u w:val="single"/>
        </w:rPr>
        <w:t>27517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(919) 855-2100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TENX</w:t>
            </w:r>
          </w:p>
        </w:tc>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of May 8, 2026, the registrant had outstanding 26,525,159 shares of Common Stock.</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7"/>
        <w:gridCol w:w="8501"/>
        <w:gridCol w:w="109"/>
        <w:gridCol w:w="646"/>
        <w:gridCol w:w="192"/>
      </w:tblGrid>
      <w:tr>
        <w:trPr/>
        <w:tc>
          <w:tcPr>
            <w:tcW w:w="757" w:type="dxa"/>
            <w:tcBorders/>
            <w:vAlign w:val="center"/>
          </w:tcPr>
          <w:p>
            <w:pPr>
              <w:pStyle w:val="TableContents"/>
              <w:bidi w:val="0"/>
              <w:spacing w:before="0" w:after="283"/>
              <w:jc w:val="left"/>
              <w:rPr>
                <w:sz w:val="4"/>
                <w:szCs w:val="4"/>
              </w:rPr>
            </w:pPr>
            <w:r>
              <w:rPr>
                <w:sz w:val="4"/>
                <w:szCs w:val="4"/>
              </w:rPr>
            </w:r>
          </w:p>
        </w:tc>
        <w:tc>
          <w:tcPr>
            <w:tcW w:w="8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Financial Statements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2026 (Unaudited) and December 31, 2025</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Months Ended March 31, 2026 and 2025</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 for the Three Ended March 31, 2026 and 2025</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Times New Roman" w:hAnsi="Times New Roman"/>
                  <w:color w:val="0000FF"/>
                  <w:sz w:val="20"/>
                  <w:u w:val="single"/>
                </w:rPr>
                <w:t>Condensed Consolidated Statements of Cash Flows (Unaudited) for the Three Months Ended March 31, 2026 and 2025</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
              <w:r>
                <w:rPr>
                  <w:rStyle w:val="InternetLink"/>
                  <w:rFonts w:ascii="Times New Roman" w:hAnsi="Times New Roman"/>
                  <w:color w:val="0000FF"/>
                  <w:sz w:val="20"/>
                  <w:u w:val="single"/>
                </w:rPr>
                <w:t>Notes to Condensed Consolidated Financial Statements (Unaudited)</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00" w:after="283"/>
        <w:jc w:val="both"/>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17"/>
        <w:gridCol w:w="146"/>
        <w:gridCol w:w="237"/>
        <w:gridCol w:w="944"/>
        <w:gridCol w:w="346"/>
        <w:gridCol w:w="346"/>
        <w:gridCol w:w="256"/>
        <w:gridCol w:w="1020"/>
        <w:gridCol w:w="593"/>
      </w:tblGrid>
      <w:tr>
        <w:trPr/>
        <w:tc>
          <w:tcPr>
            <w:tcW w:w="6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undesignated, authorized 4,818,654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par value $0.0001, authorized 5,181,346 shares; issued and outstanding 210,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 authorized 400,000,000 shares; issued and outstanding 24,275,500 as of March 31, 2026 and 9,314,130 as of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(383,170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(367,454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47"/>
        <w:gridCol w:w="146"/>
        <w:gridCol w:w="237"/>
        <w:gridCol w:w="1164"/>
        <w:gridCol w:w="186"/>
        <w:gridCol w:w="163"/>
        <w:gridCol w:w="237"/>
        <w:gridCol w:w="1164"/>
        <w:gridCol w:w="166"/>
        <w:gridCol w:w="595"/>
      </w:tblGrid>
      <w:tr>
        <w:trPr/>
        <w:tc>
          <w:tcPr>
            <w:tcW w:w="6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prefunded warrants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45,226,328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36,584,920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253"/>
        <w:gridCol w:w="500"/>
        <w:gridCol w:w="146"/>
        <w:gridCol w:w="146"/>
        <w:gridCol w:w="275"/>
        <w:gridCol w:w="251"/>
        <w:gridCol w:w="146"/>
        <w:gridCol w:w="146"/>
        <w:gridCol w:w="165"/>
        <w:gridCol w:w="734"/>
        <w:gridCol w:w="146"/>
        <w:gridCol w:w="146"/>
        <w:gridCol w:w="263"/>
        <w:gridCol w:w="263"/>
        <w:gridCol w:w="146"/>
        <w:gridCol w:w="146"/>
        <w:gridCol w:w="241"/>
        <w:gridCol w:w="721"/>
        <w:gridCol w:w="146"/>
        <w:gridCol w:w="146"/>
        <w:gridCol w:w="221"/>
        <w:gridCol w:w="725"/>
        <w:gridCol w:w="151"/>
        <w:gridCol w:w="146"/>
        <w:gridCol w:w="262"/>
        <w:gridCol w:w="788"/>
        <w:gridCol w:w="202"/>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3,420,906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406,848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(314,855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91,993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and prefunded warrants, net of offering costs of $1,746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3,970,385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434,554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(325,263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109,291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9,314,130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464,524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(367,454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97,071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8,533,958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24,275,500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497,860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(383,170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114,692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8" w:name="condensed_consolidated_statements_cash"/>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both"/>
        <w:rPr/>
      </w:pPr>
      <w:r>
        <w:rPr/>
        <w:t> </w:t>
      </w:r>
    </w:p>
    <w:tbl>
      <w:tblPr>
        <w:tblW w:w="10146" w:type="dxa"/>
        <w:jc w:val="left"/>
        <w:tblInd w:w="0" w:type="dxa"/>
        <w:tblLayout w:type="fixed"/>
        <w:tblCellMar>
          <w:top w:w="28" w:type="dxa"/>
          <w:left w:w="28" w:type="dxa"/>
          <w:bottom w:w="28" w:type="dxa"/>
          <w:right w:w="28" w:type="dxa"/>
        </w:tblCellMar>
      </w:tblPr>
      <w:tblGrid>
        <w:gridCol w:w="6661"/>
        <w:gridCol w:w="346"/>
        <w:gridCol w:w="213"/>
        <w:gridCol w:w="791"/>
        <w:gridCol w:w="370"/>
        <w:gridCol w:w="350"/>
        <w:gridCol w:w="213"/>
        <w:gridCol w:w="791"/>
        <w:gridCol w:w="411"/>
      </w:tblGrid>
      <w:tr>
        <w:trPr/>
        <w:tc>
          <w:tcPr>
            <w:tcW w:w="6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warrants and pre-funded warrants,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warrants and pre-funded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30,469</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30,499</w:t>
            </w:r>
          </w:p>
        </w:tc>
        <w:tc>
          <w:tcPr>
            <w:tcW w:w="3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21,190</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118,755</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9" w:name="notes_to_condensed_consolidated_financi"/>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Tenax Therapeutics, Inc., together with its subsidiaries (collectively “Tenax” or the “Company”), is a Phase 3, development-stage pharmaceutical company using clinical insights to develop novel cardiopulmonary therapies.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incorporated in Delaware and is headquartered in Chapel Hill, North Carolina.</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financed its operations since September 1990 primarily through the sale of equity and debt securities and loans from stockholders. The Company had an accumulated deficit of $383.2 million at March 31, 2026 and incurred losses of $15.7 million and $10.4 million during the three months ended March 31, 2026 and 2025,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March 31, 2026, the Company had cash and cash equivalents of $118.8 million. Based on its resources on March 31, 2026, Company management believes that it has sufficient funds for the Company to continue its operations over at least the next 12 months from the date these condensed consolidated financial statements were available to be issued.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10, 2026, from which the Company derived the balance sheet data on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Intercompany balances and transactions have been eliminated upon consolidation.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There have been no material changes in the Company’s significant accounting policies to those previously disclosed in its Annual Report on Form 10-K for the year ended December 31, 2025, other than the following:</w:t>
      </w:r>
    </w:p>
    <w:p>
      <w:pPr>
        <w:pStyle w:val="TextBody"/>
        <w:bidi w:val="0"/>
        <w:jc w:val="both"/>
        <w:rPr>
          <w:rFonts w:ascii="Times New Roman" w:hAnsi="Times New Roman"/>
          <w:b/>
          <w:i/>
          <w:color w:val="000000"/>
          <w:sz w:val="20"/>
        </w:rPr>
      </w:pPr>
      <w:r>
        <w:rPr>
          <w:rFonts w:ascii="Times New Roman" w:hAnsi="Times New Roman"/>
          <w:b/>
          <w:i/>
          <w:color w:val="000000"/>
          <w:sz w:val="20"/>
        </w:rPr>
        <w:t>Cash Concentration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Deposit Insurance Corporation (the “FDIC”) insurance limits are $250,000 per depositor per insured bank. The Company had cash balances of $118.5 million and $97.0 million uninsured by the FDIC as of March 31, 2026 and December 31, 2025, respectively.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jc w:val="both"/>
        <w:rPr/>
      </w:pPr>
      <w:r>
        <w:rPr/>
        <w:t> </w:t>
      </w:r>
    </w:p>
    <w:tbl>
      <w:tblPr>
        <w:tblW w:w="9818" w:type="dxa"/>
        <w:jc w:val="left"/>
        <w:tblInd w:w="0" w:type="dxa"/>
        <w:tblLayout w:type="fixed"/>
        <w:tblCellMar>
          <w:top w:w="28" w:type="dxa"/>
          <w:left w:w="28" w:type="dxa"/>
          <w:bottom w:w="28" w:type="dxa"/>
          <w:right w:w="28" w:type="dxa"/>
        </w:tblCellMar>
      </w:tblPr>
      <w:tblGrid>
        <w:gridCol w:w="6751"/>
        <w:gridCol w:w="146"/>
        <w:gridCol w:w="150"/>
        <w:gridCol w:w="1065"/>
        <w:gridCol w:w="150"/>
        <w:gridCol w:w="150"/>
        <w:gridCol w:w="150"/>
        <w:gridCol w:w="1065"/>
        <w:gridCol w:w="19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10,472,699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19,802,318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 (stock incentive plans and inducement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8,125,246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BALANCE SHEET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7830" w:type="dxa"/>
        <w:jc w:val="left"/>
        <w:tblInd w:w="0" w:type="dxa"/>
        <w:tblLayout w:type="fixed"/>
        <w:tblCellMar>
          <w:top w:w="28" w:type="dxa"/>
          <w:left w:w="28" w:type="dxa"/>
          <w:bottom w:w="28" w:type="dxa"/>
          <w:right w:w="28" w:type="dxa"/>
        </w:tblCellMar>
      </w:tblPr>
      <w:tblGrid>
        <w:gridCol w:w="4036"/>
        <w:gridCol w:w="146"/>
        <w:gridCol w:w="388"/>
        <w:gridCol w:w="1052"/>
        <w:gridCol w:w="146"/>
        <w:gridCol w:w="146"/>
        <w:gridCol w:w="465"/>
        <w:gridCol w:w="1260"/>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CRO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from warrant exercise held at transfer agent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both"/>
        <w:rPr/>
      </w:pPr>
      <w:r>
        <w:rPr/>
        <w:t> </w:t>
      </w:r>
    </w:p>
    <w:tbl>
      <w:tblPr>
        <w:tblW w:w="5850" w:type="dxa"/>
        <w:jc w:val="left"/>
        <w:tblInd w:w="0" w:type="dxa"/>
        <w:tblLayout w:type="fixed"/>
        <w:tblCellMar>
          <w:top w:w="28" w:type="dxa"/>
          <w:left w:w="28" w:type="dxa"/>
          <w:bottom w:w="28" w:type="dxa"/>
          <w:right w:w="28" w:type="dxa"/>
        </w:tblCellMar>
      </w:tblPr>
      <w:tblGrid>
        <w:gridCol w:w="2056"/>
        <w:gridCol w:w="146"/>
        <w:gridCol w:w="388"/>
        <w:gridCol w:w="1052"/>
        <w:gridCol w:w="146"/>
        <w:gridCol w:w="146"/>
        <w:gridCol w:w="465"/>
        <w:gridCol w:w="1260"/>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CRO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Simdax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(as amended from time to time, the “License”). On October 9, 2020 and January 25, 2022, the Company entered into amendments to the License to include in the scope of the License two new product formulations containing levosimendan, in capsule and solid dosage form (TNX-103) and a subcutaneously administered dosage form (TNX-102), subject to specified limitations (together,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19, 2024, the Company entered into an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(the “FDA”)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3, 2025, the Company entered into an amendment to the License providing exclusive worldwide rights to develop, commercialize, manufacture, and have manufactured any orally-administered pharmaceutical product containing levosimendan and, in addition to the Company’s existing rights to develop and commercialize subcutaneously administered products containing levosimendan, to manufacture or have manufactured such products. The amendment also calls for Orion to supply the Company with levosimendan to the extent reasonably necessary or useful to manufacture orally-administered products containing levosimendan for purposes of developing such products, and sets forth the terms for such supply, including the price of levosimendan ordered by the Company of low triple-digit thousands in Euros per kilogram, payment terms, and active pharmaceutical ingredient specifications.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has not met any of the developmental milestones under the License and, accordingly, has not recorded any liability for the contingent payments due to Orion.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litigation in the normal course of business, none of which management believes will have a material adverse effect on the Company’s consolidated financial statements.</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Preferred Stock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Certificate of Incorporation, as amended, authorizes the issuance of 400,000,000 shares of $0.0001 par value common stock. As of March 31, 2026 and December 31, 2025, there were 24,275,500 and 9,314,130 shares of common stock issued and outstanding, respectively.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March 31, 2026 and December 31, 2025, there were 210 shares of Series A Stock outstanding, convertible in the aggregate into one share of common stock.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March 2025 Private Placement Financing (the “March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with certain accredited investors for the purchase and sale, in a private placement financing by the Company, of (i)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March 31, 2026, no events had occurred that would change our initial assessment of this provision.</w:t>
      </w:r>
    </w:p>
    <w:p>
      <w:pPr>
        <w:pStyle w:val="TextBody"/>
        <w:bidi w:val="0"/>
        <w:spacing w:before="200" w:after="283"/>
        <w:jc w:val="both"/>
        <w:rPr>
          <w:rFonts w:ascii="Times New Roman" w:hAnsi="Times New Roman"/>
          <w:sz w:val="20"/>
        </w:rPr>
      </w:pPr>
      <w:r>
        <w:rPr>
          <w:rFonts w:ascii="Times New Roman" w:hAnsi="Times New Roman"/>
          <w:i/>
          <w:color w:val="000000"/>
          <w:sz w:val="20"/>
        </w:rPr>
        <w:t>Pre-Funded Warrants Activity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pre-funded warrant activity for the three months ended March 31, 2026: </w:t>
      </w:r>
    </w:p>
    <w:tbl>
      <w:tblPr>
        <w:tblW w:w="6860" w:type="dxa"/>
        <w:jc w:val="left"/>
        <w:tblInd w:w="0" w:type="dxa"/>
        <w:tblLayout w:type="fixed"/>
        <w:tblCellMar>
          <w:top w:w="28" w:type="dxa"/>
          <w:left w:w="28" w:type="dxa"/>
          <w:bottom w:w="28" w:type="dxa"/>
          <w:right w:w="28" w:type="dxa"/>
        </w:tblCellMar>
      </w:tblPr>
      <w:tblGrid>
        <w:gridCol w:w="3031"/>
        <w:gridCol w:w="146"/>
        <w:gridCol w:w="228"/>
        <w:gridCol w:w="1617"/>
        <w:gridCol w:w="166"/>
        <w:gridCol w:w="146"/>
        <w:gridCol w:w="415"/>
        <w:gridCol w:w="92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33,102,778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24,566,607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warrant activity for the three months ended March 31, 2026, not including pre-funded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3031"/>
        <w:gridCol w:w="146"/>
        <w:gridCol w:w="146"/>
        <w:gridCol w:w="1036"/>
        <w:gridCol w:w="166"/>
        <w:gridCol w:w="146"/>
        <w:gridCol w:w="415"/>
        <w:gridCol w:w="92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16,895,111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10,472,699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4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6.23</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August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the Company’s private placement in August 2024 (the “2024 Offering”), the Company issued unregistered common warrants to purchase 16,666,666 shares of its common stock at an exercise price of $4.50 per share (the “August 2024 Warrants”) and pre-funded warrants to purchase an aggregate of 31,882,671 shares of common stock. The August 2024 Warrants expire at the earlier of (i) 30 trading days following the date of the Company’s initial public announcement of topline data from its Phase 3 LEVEL trial (the “Topline Data Announcement”), (ii) immediately upon the exercise of the pre-funded warrants if such exercise is prior to the Topline Data Announcement, provided that if the pre-funded warrant is not exercised in full, the warrant expires proportionally to the extent the pre-funded warrant is exercised, and (iii) August 8, 2029. At March 31, 2026, 10,232,295 of the August 2024 Warrants remained outstanding.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the Company’s registered public offering in February 2024, the Company issued registered warrants to purchase 3,200,000 shares of its common stock at an exercise price of $5.65 per share and contractual term of five years. At March 31, 2026, 223,880 of the February 2024 Warrants remained outstanding.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2022, the Company adopted the 2022 Stock Incentive Plan, as amended on June 7, 2024 and October 25,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2022 Plan, with the approval of the Board’s Compensation Committee, the Company may grant stock options, stock appreciation rights, restricted stock, restricted stock units (“RSUs”),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200" w:after="283"/>
        <w:jc w:val="both"/>
        <w:rPr>
          <w:rFonts w:ascii="Times New Roman" w:hAnsi="Times New Roman"/>
          <w:sz w:val="20"/>
        </w:rPr>
      </w:pPr>
      <w:r>
        <w:rPr>
          <w:rFonts w:ascii="Times New Roman" w:hAnsi="Times New Roman"/>
          <w:color w:val="000000"/>
          <w:sz w:val="20"/>
        </w:rPr>
        <w:t>A total of 457,621 shares remained available for issuance under the 2022 Plan as of</w:t>
      </w:r>
      <w:r>
        <w:rPr>
          <w:rFonts w:ascii="Times New Roman" w:hAnsi="Times New Roman"/>
          <w:color w:val="212529"/>
          <w:sz w:val="20"/>
        </w:rPr>
        <w:t xml:space="preserve"> March 31,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Summary of Stock 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during the three months ended March 31, 2026 related to stock options granted to employees and directors under Company option plans were as follows: </w:t>
      </w:r>
    </w:p>
    <w:p>
      <w:pPr>
        <w:pStyle w:val="TextBody"/>
        <w:bidi w:val="0"/>
        <w:jc w:val="both"/>
        <w:rPr/>
      </w:pPr>
      <w:r>
        <w:rPr/>
        <w:t> </w:t>
      </w:r>
    </w:p>
    <w:tbl>
      <w:tblPr>
        <w:tblW w:w="9272" w:type="dxa"/>
        <w:jc w:val="left"/>
        <w:tblInd w:w="0" w:type="dxa"/>
        <w:tblLayout w:type="fixed"/>
        <w:tblCellMar>
          <w:top w:w="28" w:type="dxa"/>
          <w:left w:w="28" w:type="dxa"/>
          <w:bottom w:w="28" w:type="dxa"/>
          <w:right w:w="28" w:type="dxa"/>
        </w:tblCellMar>
      </w:tblPr>
      <w:tblGrid>
        <w:gridCol w:w="3826"/>
        <w:gridCol w:w="146"/>
        <w:gridCol w:w="146"/>
        <w:gridCol w:w="931"/>
        <w:gridCol w:w="166"/>
        <w:gridCol w:w="146"/>
        <w:gridCol w:w="214"/>
        <w:gridCol w:w="582"/>
        <w:gridCol w:w="146"/>
        <w:gridCol w:w="146"/>
        <w:gridCol w:w="289"/>
        <w:gridCol w:w="926"/>
        <w:gridCol w:w="146"/>
        <w:gridCol w:w="146"/>
        <w:gridCol w:w="267"/>
        <w:gridCol w:w="85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7,874,932</w:t>
            </w:r>
          </w:p>
        </w:tc>
        <w:tc>
          <w:tcPr>
            <w:tcW w:w="166"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69,912</w:t>
            </w:r>
          </w:p>
        </w:tc>
        <w:tc>
          <w:tcPr>
            <w:tcW w:w="191"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stock options granted during the three months ended March 31, 2026 using the Black-Scholes option pricing model and the following range of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6248" w:type="dxa"/>
        <w:jc w:val="left"/>
        <w:tblInd w:w="0" w:type="dxa"/>
        <w:tblLayout w:type="fixed"/>
        <w:tblCellMar>
          <w:top w:w="28" w:type="dxa"/>
          <w:left w:w="28" w:type="dxa"/>
          <w:bottom w:w="28" w:type="dxa"/>
          <w:right w:w="28" w:type="dxa"/>
        </w:tblCellMar>
      </w:tblPr>
      <w:tblGrid>
        <w:gridCol w:w="2131"/>
        <w:gridCol w:w="146"/>
        <w:gridCol w:w="1767"/>
        <w:gridCol w:w="201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 - 4.04%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 - 122.17%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1.7 - 7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compensation expense for stock options granted under Company stock incentive plans of $2.7 million and $4.0 million and for the three months ended March 31, 2026 and March 31,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there were unrecognized compensation costs of $26.5 million related to non-vested stock option awards that will be recognized on a straight-line basis over the weighted average remaining vesting period of 2.56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Inducement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250,000 shares of common stock to a new employee on January 21, 2025. This employment inducement stock option was awarded in accordance with the employment inducement award exemption provided by Nasdaq Listing Rule 5635(c)(4) and was therefore not awarded under the Company’s stockholder approved equity plan. The option has a 10-year term and an exercise price of $6.45 per share, the January 21, 2025 closing price of the Company’s common stock. This award vests as follows: 25% on the one-year anniversary of employment start date and an additional 25% on each of the following three anniversaries of the employment start date, subject to the recipient’s continued employment through each applicable vesting date. As of March 31, 2026, 25% of this award had vested. The estimated fair value of the inducement stock option award was $1.4 million using the Black-Scholes option pricing model based on market prices and the following assumptions at the date of inducement option grant: risk-free interest rate of 4.49%, dividend yield of 0%, volatility factor for our common stock of 123.41% and an expected life of 6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The option has a 10-year term and an exercise price of $3,152 per share, the July 6, 2021 closing price of our common stock. This award vests as follows: 25% on the one-year anniversary of the Chief Executive Officer's employment start date and an additional 25% on each of the following three anniversaries of the Chief Executive Officer's employment start date. As of March 31, 2026, the option had fully vested.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granted an employment inducement stock option award for 157 shares of common stock to its then-new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has a 10-year term and an exercise price of $2,848 per share, the January 15, 2021 closing price of our common stock. The award will vest as follows: 25% upon initiation of a Phase 3 trial; 25% upon database lock; 25% upon acceptance for review of an investigational NDA; and 25% upon approval, subject to continued employment through each applicable vesting date. As of March 31, 2026, two of the vesting milestones had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Inducement stock option compensation expense totaled $0.1 million and $0.1 million for the three months ended March 31, 2026 and March 31, 2025, respectively. As of March 31, 2026, there was $1.0 million of remaining unrecognized compensation expense related to inducement stock options.</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President and Chief Executive Officer, views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the United States and manages the business activities on a consolidated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of the cardiovascular and pulmonary therapeutics segment are the same as those described in the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months ended March 31, 2026 and 2025 (in thousands). </w:t>
      </w:r>
    </w:p>
    <w:tbl>
      <w:tblPr>
        <w:tblW w:w="6806" w:type="dxa"/>
        <w:jc w:val="left"/>
        <w:tblInd w:w="0" w:type="dxa"/>
        <w:tblLayout w:type="fixed"/>
        <w:tblCellMar>
          <w:top w:w="28" w:type="dxa"/>
          <w:left w:w="28" w:type="dxa"/>
          <w:bottom w:w="28" w:type="dxa"/>
          <w:right w:w="28" w:type="dxa"/>
        </w:tblCellMar>
      </w:tblPr>
      <w:tblGrid>
        <w:gridCol w:w="2591"/>
        <w:gridCol w:w="546"/>
        <w:gridCol w:w="212"/>
        <w:gridCol w:w="715"/>
        <w:gridCol w:w="613"/>
        <w:gridCol w:w="591"/>
        <w:gridCol w:w="212"/>
        <w:gridCol w:w="715"/>
        <w:gridCol w:w="611"/>
      </w:tblGrid>
      <w:tr>
        <w:trPr/>
        <w:tc>
          <w:tcPr>
            <w:tcW w:w="25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operating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 (a)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expense, net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 (b)</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segment items included in segment loss includes interest income and 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single operating segment and therefore the measure of segment net loss is the same as consolidated net loss and does not require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March 31, 2026 and 2025, the net cash used in operating activities was $9.3 million and $7.0 million, respectively. The table below summarizes the significant asset categories regularly reviewed by the CODM at March 31, 2026 and March 31, 2025 (in thousands). </w:t>
      </w:r>
    </w:p>
    <w:tbl>
      <w:tblPr>
        <w:tblW w:w="6749" w:type="dxa"/>
        <w:jc w:val="left"/>
        <w:tblInd w:w="0" w:type="dxa"/>
        <w:tblLayout w:type="fixed"/>
        <w:tblCellMar>
          <w:top w:w="28" w:type="dxa"/>
          <w:left w:w="28" w:type="dxa"/>
          <w:bottom w:w="28" w:type="dxa"/>
          <w:right w:w="28" w:type="dxa"/>
        </w:tblCellMar>
      </w:tblPr>
      <w:tblGrid>
        <w:gridCol w:w="2666"/>
        <w:gridCol w:w="546"/>
        <w:gridCol w:w="146"/>
        <w:gridCol w:w="781"/>
        <w:gridCol w:w="546"/>
        <w:gridCol w:w="546"/>
        <w:gridCol w:w="146"/>
        <w:gridCol w:w="781"/>
        <w:gridCol w:w="591"/>
      </w:tblGrid>
      <w:tr>
        <w:trPr/>
        <w:tc>
          <w:tcPr>
            <w:tcW w:w="26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22, 2026, the Company announced the appointment of Thomas R. Staab, II as Chief Financial Officer of the Company effective May 11, 2026 (the “Start Date”). The Company’s current Interim Chief Financial Officer and Principal Financial Officer and Principal Accounting Officer, Thomas A. McGauley, continued as the Company’s Principal Financial Officer and Principal Accounting Officer through the filing of this Quarterly Report on Form 10-Q. Under the terms of the Company’s existing consulting agreement with Danforth Advisors, LLC, Mr. McGauley will continue to provide consulting services to the Company as Mr. Staab transitions into his new role until at least the end of May 2026. In connection with Mr. Staab’s appointment, on May 11, 2026, the Company awarded Mr. Staab inducement awards consisting of (i) 10,000 RSUs and (ii)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options to purchase 450,000 shares of common stock. The employment inducement awards were made in accordance with the employment inducement award exemption provided by Nasdaq Listing Rule 5635(c)(4) and were therefore not awarded under the Company’s stockholder approved equity plan. One quarter of the RSU award will vest 10 days after Mr. Staab’s Start Date, with the remainder vesting in three equal installments on the four-month, eight-month, and twelve-month anniversaries of the Start Date. One quarter of the option award will vest on the first anniversary of Mr. Staab’s Start Date, with the remainder vesting in 36 approximately equal installments on the monthly anniversaries thereafter. The vesting of both awards is subject to Mr. Staab’s continued employment with the Company through each applicable vesting date. The option has a 10-year term and an exercise price equal to the May 11, 2026 closing price of the Company’s common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Between April 28, 2026 and June 1, 2026, the Company has awarded or will award inducement option awards as inducements to the employment of four non-executive individuals newly hired by the Company. The employees received or will receive, in the aggregate, non-qualified stock options to purchase 657,500 shares of the Company’s common stock with an exercise price equal to the closing price of the Company's common stock as reported by Nasdaq on the start date of each respective employee. The employment inducement awards were made in accordance with the employment inducement award exemption provided by Nasdaq Listing Rule 5635(c)(4) and were therefore not awarded under the Company’s stockholder approved equity plan. One quarter of each option award will vest and become exercisable on the first anniversary of the grant date, and the remaining underlying shares will vest in 36 substantially equal installments each month thereafter, subject to the employee's continued service with the Company through each applicable vesting date. Each option award has a 10 year term.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Subsequent to March 31, 2026, the Company received a total of $7.9 million from the exercise of 494,459, net, pre-funded warrants for shares of common stock and 1,755,200 warrants for shares of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2025. All references in this Quarterly Report to “Tenax Therapeutics,” “we,” “our” and “us” means Tenax Therapeutics,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Tenax Therapeutics is a Phase 3, development-stage pharmaceutical company using clinical insights to develop novel cardiopulmonary therapies. We employ a clinician-driven drug development approach, led by key opinion leaders and heart failure experts and informed by their clinical insights to precisely target disease pathophysiology. We are currently actively conducting the LEVEL and LEVEL-2 clinical trials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cardiovascular and pulmonary hypertension experts, puts us in a strong position to deliver breakthrough cardiopulmonary therapies designed to improve patients’ functioning and quality of life.</w:t>
      </w:r>
    </w:p>
    <w:p>
      <w:pPr>
        <w:pStyle w:val="TextBody"/>
        <w:bidi w:val="0"/>
        <w:spacing w:before="200" w:after="160"/>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In March 2025, we closed a private placement financing raising gross proceeds of approximately $25.0 million. We intend to use the net proceeds from the March 2025 Offering, in addition to approximately $100.0 million raised in August 2024, to advance our Phase 3 oral levosimendan program. Specifically, we plan to complete our ongoing Phase 3 LEVEL study of TNX-103 in PH-HFpEF. We also plan to advance our second global Phase 3 study, LEVEL-2, which commenced in December 2025. Following completion of the two Phase 3 levosimendan trials, we intend to submit marketing authorization applications. We also plan to submit an application for imatinib following completion of a single Phase 3 trial, when appropriate.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Our Phase 3 LEVEL study continues, with high rates of study and therapy continuation during the blinded and open-label extension stages. We achieved our target enrollment of 230 patients in March of 2026. LEVEL is being conducted in the United States and Canada.</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Based on our current operating plan, we believe that our existing cash and cash equivalents as of March 31, 2026, along with cash received from warrant exercises subsequent to quarter end, will be sufficient to fund our planned operations through at least the first quarter of 2028.</w:t>
      </w:r>
    </w:p>
    <w:p>
      <w:pPr>
        <w:pStyle w:val="TextBody"/>
        <w:bidi w:val="0"/>
        <w:spacing w:before="40" w:after="283"/>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Financial Overview – Three Months Ended March 31, 2026 (in thousands)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566"/>
        <w:gridCol w:w="546"/>
        <w:gridCol w:w="196"/>
        <w:gridCol w:w="661"/>
        <w:gridCol w:w="566"/>
        <w:gridCol w:w="546"/>
        <w:gridCol w:w="196"/>
        <w:gridCol w:w="661"/>
        <w:gridCol w:w="566"/>
        <w:gridCol w:w="546"/>
        <w:gridCol w:w="207"/>
        <w:gridCol w:w="606"/>
        <w:gridCol w:w="566"/>
        <w:gridCol w:w="546"/>
        <w:gridCol w:w="256"/>
        <w:gridCol w:w="661"/>
        <w:gridCol w:w="546"/>
        <w:gridCol w:w="767"/>
      </w:tblGrid>
      <w:tr>
        <w:trPr/>
        <w:tc>
          <w:tcPr>
            <w:tcW w:w="1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operating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expense, net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(15,716</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include, but are not limited to, (i) expenses incurred under agreements with CROs and investigative sites, which conduct a substantial portion of our pre-clinical and our clinical studies; (ii) the cost of supplying clinical trial materials; (iii) payments to CROs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March 31, 2026 and 2025 are as follows (in thousands):</w:t>
      </w:r>
    </w:p>
    <w:p>
      <w:pPr>
        <w:pStyle w:val="TextBody"/>
        <w:bidi w:val="0"/>
        <w:jc w:val="both"/>
        <w:rPr/>
      </w:pPr>
      <w:r>
        <w:rPr/>
        <w:t> </w:t>
      </w:r>
    </w:p>
    <w:tbl>
      <w:tblPr>
        <w:tblW w:w="9159" w:type="dxa"/>
        <w:jc w:val="left"/>
        <w:tblInd w:w="0" w:type="dxa"/>
        <w:tblLayout w:type="fixed"/>
        <w:tblCellMar>
          <w:top w:w="28" w:type="dxa"/>
          <w:left w:w="28" w:type="dxa"/>
          <w:bottom w:w="28" w:type="dxa"/>
          <w:right w:w="28" w:type="dxa"/>
        </w:tblCellMar>
      </w:tblPr>
      <w:tblGrid>
        <w:gridCol w:w="2941"/>
        <w:gridCol w:w="146"/>
        <w:gridCol w:w="146"/>
        <w:gridCol w:w="146"/>
        <w:gridCol w:w="316"/>
        <w:gridCol w:w="969"/>
        <w:gridCol w:w="235"/>
        <w:gridCol w:w="235"/>
        <w:gridCol w:w="316"/>
        <w:gridCol w:w="823"/>
        <w:gridCol w:w="146"/>
        <w:gridCol w:w="146"/>
        <w:gridCol w:w="240"/>
        <w:gridCol w:w="630"/>
        <w:gridCol w:w="166"/>
        <w:gridCol w:w="146"/>
        <w:gridCol w:w="268"/>
        <w:gridCol w:w="692"/>
        <w:gridCol w:w="166"/>
        <w:gridCol w:w="28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Clinical and preclinical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11,539</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and preclinical development costs increased $5.8 million for the three months ended March 31, 2026, as compared to the same period in the prior year. Clinical and preclinical development costs for the three months ended March 31, 2026 consist primarily of expenses associated with our ongoing Phase 3 LEVEL trial and our second global Phase 3 study, LEVEL-2, which commenced in December 2025, as compared to the three months ended March 31, 2025, which consisted primarily of costs associated with our Phase 3 LEVEL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Salary and benefits costs increased by $0.5 million for the three months ended March 31, 2026 as compared to the same period in the prior year primarily due to higher salaries and additional performance-based compensation expense as a result of an increase in the number of employees. Non-cash stock-based compensation expense decreased by $0.3 million for the three months ended March 31, 2026, as compared to the same period in 2025 primarily due to stock options granted in December 2024, for which the expense was recognized over a one year vesting period and became fully vested in December 2025, partially offset by new option grants made in 2026 to employees that vest and are being expensed over four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costs decreased for the three months ended March 31, 2026 as compared to the same period in the prior year, primarily due to increased regulatory consulting costs as we continued to expand our Phase 3 trials.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for executive, finance, legal and administrative personnel, including non-cash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March 31, 2026 and 2025 are as follows (in thousands):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172" w:type="dxa"/>
        <w:jc w:val="left"/>
        <w:tblInd w:w="0" w:type="dxa"/>
        <w:tblLayout w:type="fixed"/>
        <w:tblCellMar>
          <w:top w:w="28" w:type="dxa"/>
          <w:left w:w="28" w:type="dxa"/>
          <w:bottom w:w="28" w:type="dxa"/>
          <w:right w:w="28" w:type="dxa"/>
        </w:tblCellMar>
      </w:tblPr>
      <w:tblGrid>
        <w:gridCol w:w="2956"/>
        <w:gridCol w:w="146"/>
        <w:gridCol w:w="146"/>
        <w:gridCol w:w="146"/>
        <w:gridCol w:w="332"/>
        <w:gridCol w:w="867"/>
        <w:gridCol w:w="247"/>
        <w:gridCol w:w="247"/>
        <w:gridCol w:w="332"/>
        <w:gridCol w:w="867"/>
        <w:gridCol w:w="146"/>
        <w:gridCol w:w="146"/>
        <w:gridCol w:w="268"/>
        <w:gridCol w:w="602"/>
        <w:gridCol w:w="166"/>
        <w:gridCol w:w="146"/>
        <w:gridCol w:w="284"/>
        <w:gridCol w:w="676"/>
        <w:gridCol w:w="166"/>
        <w:gridCol w:w="28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5,034</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Salary and benefits increased $0.3 million for the three months ended March 31, 2026, compared to the same period in 2025. The change was primarily attributable to increased head count and salaries, and related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Non-cash stock-based compensation expense decreased $1.0 million for the three months ended March 31, 2026, as compared to the same period in 2025 primarily due to stock options granted in December 2024, for which the expense was amortized over a one-year vesting term, which was partially offset by new option grants made in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$0.1 million for the three month period ended March 31, 2026, as compared to the same period in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costs include expenses incurred for franchise and other taxes, travel, supplies, insurance, depreciation, and other miscellaneous charges.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 Interest Expense, and Other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decreased by $0.1 million for the three months ended March 31, 2026, as compared to the same period in the prior year primarily due to lower interest rates. The Company had an immaterial other expense for the three months ended March 31, 2026 and none for the comparable period in the prior year.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Capital Resources and Plan of Operation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incurred losses since our inception and, as of March 31, 2026, we had an accumulated deficit of $383.2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financed our operations since September 1990 through the issuance of debt and equity securities and loans from stockholders. We had total current assets of $123.2 million and $104.2 million and working capital of $114.7 million and $97.1 million as of March 31, 2026 and December 31, 2025, respectively. Our practice is to invest excess cash, where available, in short-term money market investment instruments and high quality corporate and government bonds.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currently conducting the LEVEL trial and intend to recruit patients into the first half of 2026. We commenced our LEVEL-2 trial in December 2025 and are currently enrolling patients. Our ability to continue to pursue development of our products beyond March of 2028, including completion of a second Phase 3 oral levosimendan trial, will depend on obtaining license income, income from warrants exercised by investors should they elect to do so, or other financial resources. There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assurance that we will obtain any license agreement or other financing or that we will otherwise succeed in obtaining any necessary resources.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5, 2025, we sold in the March 2025 Offering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offering were $23.2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24, 2026, we filed a universal shelf registration statement on Form S-3 with the SEC, which the SEC declared effective on April 1, 2026. Pursuant to this registration statement, we have the ability to sell up to $300.0 million of any combination of our equity or debt securities in one or more public offerings, at prices and on terms that we will determine at the time of offering.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a summary of our cash flows for the periods indicated (in thousands):</w:t>
      </w:r>
    </w:p>
    <w:p>
      <w:pPr>
        <w:pStyle w:val="TextBody"/>
        <w:bidi w:val="0"/>
        <w:jc w:val="both"/>
        <w:rPr/>
      </w:pPr>
      <w:r>
        <w:rPr/>
        <w:t> </w:t>
      </w:r>
    </w:p>
    <w:tbl>
      <w:tblPr>
        <w:tblW w:w="6753" w:type="dxa"/>
        <w:jc w:val="left"/>
        <w:tblInd w:w="0" w:type="dxa"/>
        <w:tblLayout w:type="fixed"/>
        <w:tblCellMar>
          <w:top w:w="28" w:type="dxa"/>
          <w:left w:w="28" w:type="dxa"/>
          <w:bottom w:w="28" w:type="dxa"/>
          <w:right w:w="28" w:type="dxa"/>
        </w:tblCellMar>
      </w:tblPr>
      <w:tblGrid>
        <w:gridCol w:w="3566"/>
        <w:gridCol w:w="146"/>
        <w:gridCol w:w="276"/>
        <w:gridCol w:w="885"/>
        <w:gridCol w:w="217"/>
        <w:gridCol w:w="191"/>
        <w:gridCol w:w="276"/>
        <w:gridCol w:w="885"/>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$9.3 million for the three months ended March 31, 2026, compared to $7.0 million for the three months ended March 31, 2025. The increase in cash used in operating activities was primarily due to increased expenses as we expanded our clinical trials and increased payroll costs. The increase in payroll costs was primarily driven by the addition of new employees and targeted salary adjustments, reflecting a necessary investment to support our expanded clinical trial activity during the three months ended March 31, 2026 as compared to the prior year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was no net cash provided or consumed by investing activities for the three months ended March 31, 2026 or the three months ended March 31, 2025.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$30.5 million for the three months ended March 31, 2026, compared to $23.6 million for the three months ended March 31, 2025, an increase of $6.9 million. During the three months ended March 31, 2026, the Company received proceeds of $30.5 million from the exercise of warrants and pre-funded warrants. During the three months ended March 31, 2025, the Company received proceeds of $23.2 million net cash provided from the sale of common stock and pre-funded warrants in the March 2025 Offering and $0.3 million from the exercise of warrants and pre-funded warrants.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that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design, footprint, progress, timing and completion of clinical trials for our product candidates and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and the regulatory approval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that may be caused by changing regulatory requirements and resource levels at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product candidates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filing and prosecuting patent applications and enforcing and defending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terms of future collaboration, licensing, consulting or other arrangements that we may enter into;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marketing, manufacturing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procuring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or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costs of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working capital on March 31, 2026, and additional cash received subsequent to quarter end of $7.9 million, we believe we have sufficient capital on hand to fund operations through at least the first quarter of 2028.</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2025 and Note 2 to our unaudited condensed consolidated financial statements included in Part I, Item 1 of this Quarterly Report on Form 10-Q.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Smaller reporting companies are not required to provide the information required by this item.</w:t>
      </w:r>
    </w:p>
    <w:p>
      <w:pPr>
        <w:pStyle w:val="TextBody"/>
        <w:bidi w:val="0"/>
        <w:spacing w:before="20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required by paragraph (b) of Rules 13a-15 and 15d-15 promulgated under the Exchange Act, under the supervision and with the participation of our management, including our President and Chief Executive Officer (Principal Executive Officer) and our Principal Financial Officer and Principal Accounting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our President and Chief Executive Officer (Principal Executive Officer) and our Principal Financial Officer and Principal Accounting Officer, concluded that our disclosure controls and procedures were effective as of March 31, 2026,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(Principal Executive Officer) and our Principal Financial Officer and Principal Accounting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w:t>
      </w:r>
      <w:bookmarkStart w:id="13" w:name="part_ii_other_information"/>
      <w:bookmarkEnd w:id="13"/>
      <w:r>
        <w:rPr>
          <w:rFonts w:ascii="Times New Roman" w:hAnsi="Times New Roman"/>
          <w:b/>
          <w:color w:val="000000"/>
          <w:sz w:val="20"/>
        </w:rPr>
        <w:t>MATION</w:t>
      </w:r>
    </w:p>
    <w:p>
      <w:pPr>
        <w:pStyle w:val="TextBody"/>
        <w:bidi w:val="0"/>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both"/>
        <w:rPr>
          <w:rFonts w:ascii="Times New Roman" w:hAnsi="Times New Roman"/>
          <w:color w:val="000000"/>
          <w:sz w:val="20"/>
        </w:rPr>
      </w:pPr>
      <w:r>
        <w:rPr>
          <w:rFonts w:ascii="Times New Roman" w:hAnsi="Times New Roman"/>
          <w:color w:val="000000"/>
          <w:sz w:val="20"/>
        </w:rPr>
        <w:t>There are no material pending legal proceedings to which we are a party or to which any of our property is subject.</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risks we face have not materially changed from those disclosed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exhibits are being filed or furnished as part of this Quarterly Report on Form 10-Q and are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10.1+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Amendment to Executive Employment Agreement by and between Tenax Therapeutics, Inc. and Stuart Rich, MD, dated January 6, 2026 (incorporated by reference to Exhibit 10.1 to the Company’s Form 8-K filed with the SEC on January 9,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Executive Employment Agreement with Thomas R. Staab, II, dated April 9, 2026 (incorporated by reference to Exhibit 10.1 to the Company’s Form 8-K filed with the SEC on April 22, 2026).</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10.3+</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Inducement Restricted Stock Unit Award Agreement (incorporated by reference to Exhibit 10.2 to the Company’s Form 8-K filed with the SEC on April 22,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Certification of President and Chief Executive Officer pursuant to Section 302 of the Sarbanes Oxley Act of 2002.</w:t>
              </w:r>
            </w:hyperlink>
            <w:hyperlink w:anchor="tennx-ex31_1.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31.2*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Certification of Principal Financial Officer and Principal Accounting Officer pursuant to Section 302 of the Sarbanes Oxley Act of 2002.</w:t>
              </w:r>
            </w:hyperlink>
            <w:hyperlink w:anchor="tennx-ex31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Certification of President and Chief Executive Officer pursuant to 18 U.S.C. Section 1350, as adopted pursuant to Section 906 of the Sarbanes-Oxley Act of 2002.</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32.2**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Certification of Principal Financial Officer and Principal Accounting Officer pursuant to 18 U.S.C. Section 1350, as adopted pursuant to Section 906 of the Sarbanes-Oxley Act of 2002.</w:t>
              </w:r>
            </w:hyperlink>
            <w:hyperlink w:anchor="tennx-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Document Set for the condensed consolidated financial statements and accompanying notes in Part I, Item 1, “Financial Statements” of this Quarterly Report on Form 10-Q.</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 Management contract or compensatory plan.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12, 2026</w:t>
      </w:r>
    </w:p>
    <w:p>
      <w:pPr>
        <w:pStyle w:val="TextBody"/>
        <w:bidi w:val="0"/>
        <w:jc w:val="both"/>
        <w:rPr/>
      </w:pPr>
      <w:r>
        <w:rPr/>
        <w:t> </w:t>
      </w:r>
    </w:p>
    <w:tbl>
      <w:tblPr>
        <w:tblW w:w="5739" w:type="dxa"/>
        <w:jc w:val="left"/>
        <w:tblInd w:w="0" w:type="dxa"/>
        <w:tblLayout w:type="fixed"/>
        <w:tblCellMar>
          <w:top w:w="28" w:type="dxa"/>
          <w:left w:w="28" w:type="dxa"/>
          <w:bottom w:w="28" w:type="dxa"/>
          <w:right w:w="28" w:type="dxa"/>
        </w:tblCellMar>
      </w:tblPr>
      <w:tblGrid>
        <w:gridCol w:w="161"/>
        <w:gridCol w:w="406"/>
        <w:gridCol w:w="49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TENAX THERAPEUTICS,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8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A. McGauley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tennx-ex31_1.htm"/>
      <w:bookmarkStart w:id="19" w:name="kstennxex31_1"/>
      <w:bookmarkEnd w:id="18"/>
      <w:bookmarkEnd w:id="19"/>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Christopher T. Giordano,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982" w:type="dxa"/>
        <w:jc w:val="left"/>
        <w:tblInd w:w="0" w:type="dxa"/>
        <w:tblLayout w:type="fixed"/>
        <w:tblCellMar>
          <w:top w:w="28" w:type="dxa"/>
          <w:left w:w="28" w:type="dxa"/>
          <w:bottom w:w="28" w:type="dxa"/>
          <w:right w:w="28" w:type="dxa"/>
        </w:tblCellMar>
      </w:tblPr>
      <w:tblGrid>
        <w:gridCol w:w="1741"/>
        <w:gridCol w:w="3241"/>
      </w:tblGrid>
      <w:tr>
        <w:trPr/>
        <w:tc>
          <w:tcPr>
            <w:tcW w:w="174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12, 2026</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tennx-ex31_2.htm"/>
      <w:bookmarkStart w:id="21" w:name="kstennxex31_2"/>
      <w:bookmarkEnd w:id="20"/>
      <w:bookmarkEnd w:id="21"/>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Thomas A. McGauley,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547" w:type="dxa"/>
        <w:jc w:val="left"/>
        <w:tblInd w:w="0" w:type="dxa"/>
        <w:tblLayout w:type="fixed"/>
        <w:tblCellMar>
          <w:top w:w="28" w:type="dxa"/>
          <w:left w:w="28" w:type="dxa"/>
          <w:bottom w:w="28" w:type="dxa"/>
          <w:right w:w="28" w:type="dxa"/>
        </w:tblCellMar>
      </w:tblPr>
      <w:tblGrid>
        <w:gridCol w:w="1741"/>
        <w:gridCol w:w="2806"/>
      </w:tblGrid>
      <w:tr>
        <w:trPr/>
        <w:tc>
          <w:tcPr>
            <w:tcW w:w="174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12, 2026</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ennx-ex32_1.htm"/>
      <w:bookmarkStart w:id="23" w:name="kstennxex32_1"/>
      <w:bookmarkEnd w:id="22"/>
      <w:bookmarkEnd w:id="2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March 31, 2026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12, 2026</w:t>
      </w:r>
    </w:p>
    <w:p>
      <w:pPr>
        <w:pStyle w:val="TextBody"/>
        <w:bidi w:val="0"/>
        <w:jc w:val="both"/>
        <w:rPr/>
      </w:pPr>
      <w:r>
        <w:rPr/>
        <w:t> </w:t>
      </w:r>
    </w:p>
    <w:tbl>
      <w:tblPr>
        <w:tblW w:w="3694" w:type="dxa"/>
        <w:jc w:val="left"/>
        <w:tblInd w:w="0" w:type="dxa"/>
        <w:tblLayout w:type="fixed"/>
        <w:tblCellMar>
          <w:top w:w="28" w:type="dxa"/>
          <w:left w:w="28" w:type="dxa"/>
          <w:bottom w:w="28" w:type="dxa"/>
          <w:right w:w="28" w:type="dxa"/>
        </w:tblCellMar>
      </w:tblPr>
      <w:tblGrid>
        <w:gridCol w:w="161"/>
        <w:gridCol w:w="146"/>
        <w:gridCol w:w="31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ennx-ex32_2.htm"/>
      <w:bookmarkStart w:id="25" w:name="kstennxex32_2"/>
      <w:bookmarkEnd w:id="24"/>
      <w:bookmarkEnd w:id="25"/>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March 31, 2026 as filed with the Securities and Exchange Commission on the date hereof (the “Report”), I, Thomas A. McGauley, Principal Financial Officer and Principal Accounting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12, 2026</w:t>
      </w:r>
    </w:p>
    <w:p>
      <w:pPr>
        <w:pStyle w:val="TextBody"/>
        <w:bidi w:val="0"/>
        <w:jc w:val="both"/>
        <w:rPr/>
      </w:pPr>
      <w:r>
        <w:rPr/>
        <w:t> </w:t>
      </w:r>
    </w:p>
    <w:tbl>
      <w:tblPr>
        <w:tblW w:w="3148" w:type="dxa"/>
        <w:jc w:val="left"/>
        <w:tblInd w:w="0" w:type="dxa"/>
        <w:tblLayout w:type="fixed"/>
        <w:tblCellMar>
          <w:top w:w="28" w:type="dxa"/>
          <w:left w:w="28" w:type="dxa"/>
          <w:bottom w:w="28" w:type="dxa"/>
          <w:right w:w="28" w:type="dxa"/>
        </w:tblCellMar>
      </w:tblPr>
      <w:tblGrid>
        <w:gridCol w:w="124"/>
        <w:gridCol w:w="109"/>
        <w:gridCol w:w="27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40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4956/000165495426000232/tennx_ex101.htm" TargetMode="External"/><Relationship Id="rId3" Type="http://schemas.openxmlformats.org/officeDocument/2006/relationships/hyperlink" Target="https://www.sec.gov/Archives/edgar/data/34956/000165495426000232/tennx_ex101.htm" TargetMode="External"/><Relationship Id="rId4" Type="http://schemas.openxmlformats.org/officeDocument/2006/relationships/hyperlink" Target="https://www.sec.gov/Archives/edgar/data/34956/000119312526168521/d81080dex101.htm" TargetMode="External"/><Relationship Id="rId5" Type="http://schemas.openxmlformats.org/officeDocument/2006/relationships/hyperlink" Target="https://www.sec.gov/Archives/edgar/data/34956/000119312526168521/d81080dex101.htm" TargetMode="External"/><Relationship Id="rId6" Type="http://schemas.openxmlformats.org/officeDocument/2006/relationships/hyperlink" Target="https://www.sec.gov/Archives/edgar/data/34956/000119312526168521/d81080dex102.htm" TargetMode="External"/><Relationship Id="rId7" Type="http://schemas.openxmlformats.org/officeDocument/2006/relationships/hyperlink" Target="https://www.sec.gov/Archives/edgar/data/34956/000119312526168521/d81080d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11362</Words>
  <Characters>62258</Characters>
  <CharactersWithSpaces>74040</CharactersWithSpaces>
  <Paragraphs>2586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