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ennx-20250630.htm"/>
        <w:bookmarkStart w:id="1" w:name="kstennx20250630"/>
        <w:bookmarkEnd w:id="0"/>
        <w:bookmarkEnd w:id="1"/>
        <w:r>
          <w:rPr>
            <w:rStyle w:val="InternetLink"/>
            <w:rFonts w:ascii="Times New Roman" w:hAnsi="Times New Roman"/>
            <w:b/>
            <w:color w:val="0000FF"/>
            <w:sz w:val="20"/>
            <w:u w:val="single"/>
          </w:rPr>
          <w:t>Table of Contents</w:t>
        </w:r>
      </w:hyperlink>
    </w:p>
    <w:p>
      <w:pPr>
        <w:pStyle w:val="TextBody"/>
        <w:pBdr>
          <w:top w:val="double" w:sz="4"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9"/>
        <w:gridCol w:w="9816"/>
      </w:tblGrid>
      <w:tr>
        <w:trPr/>
        <w:tc>
          <w:tcPr>
            <w:tcW w:w="389"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38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001-34600</w:t>
      </w:r>
    </w:p>
    <w:p>
      <w:pPr>
        <w:pStyle w:val="TextBody"/>
        <w:bidi w:val="0"/>
        <w:jc w:val="both"/>
        <w:rPr/>
      </w:pPr>
      <w:r>
        <w:rPr/>
        <w:t> </w:t>
      </w:r>
    </w:p>
    <w:tbl>
      <w:tblPr>
        <w:tblW w:w="5236" w:type="dxa"/>
        <w:jc w:val="left"/>
        <w:tblInd w:w="0" w:type="dxa"/>
        <w:tblLayout w:type="fixed"/>
        <w:tblCellMar>
          <w:top w:w="28" w:type="dxa"/>
          <w:left w:w="28" w:type="dxa"/>
          <w:bottom w:w="28" w:type="dxa"/>
          <w:right w:w="28" w:type="dxa"/>
        </w:tblCellMar>
      </w:tblPr>
      <w:tblGrid>
        <w:gridCol w:w="5236"/>
      </w:tblGrid>
      <w:tr>
        <w:trPr/>
        <w:tc>
          <w:tcPr>
            <w:tcW w:w="5236" w:type="dxa"/>
            <w:tcBorders/>
            <w:vAlign w:val="center"/>
          </w:tcPr>
          <w:p>
            <w:pPr>
              <w:pStyle w:val="TableContents"/>
              <w:bidi w:val="0"/>
              <w:spacing w:before="0" w:after="283"/>
              <w:jc w:val="left"/>
              <w:rPr>
                <w:sz w:val="4"/>
                <w:szCs w:val="4"/>
              </w:rPr>
            </w:pPr>
            <w:r>
              <w:rPr>
                <w:sz w:val="4"/>
                <w:szCs w:val="4"/>
              </w:rPr>
            </w:r>
          </w:p>
        </w:tc>
      </w:tr>
      <w:tr>
        <w:trPr/>
        <w:tc>
          <w:tcPr>
            <w:tcW w:w="52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TENAX THERAPEUTICS, INC.</w:t>
            </w:r>
          </w:p>
        </w:tc>
      </w:tr>
      <w:tr>
        <w:trPr/>
        <w:tc>
          <w:tcPr>
            <w:tcW w:w="5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tc>
      </w:tr>
    </w:tbl>
    <w:p>
      <w:pPr>
        <w:pStyle w:val="TextBody"/>
        <w:bidi w:val="0"/>
        <w:jc w:val="both"/>
        <w:rPr/>
      </w:pPr>
      <w:r>
        <w:rPr/>
        <w:t> </w:t>
      </w:r>
    </w:p>
    <w:tbl>
      <w:tblPr>
        <w:tblW w:w="5346" w:type="dxa"/>
        <w:jc w:val="left"/>
        <w:tblInd w:w="0" w:type="dxa"/>
        <w:tblLayout w:type="fixed"/>
        <w:tblCellMar>
          <w:top w:w="28" w:type="dxa"/>
          <w:left w:w="28" w:type="dxa"/>
          <w:bottom w:w="28" w:type="dxa"/>
          <w:right w:w="28" w:type="dxa"/>
        </w:tblCellMar>
      </w:tblPr>
      <w:tblGrid>
        <w:gridCol w:w="2101"/>
        <w:gridCol w:w="109"/>
        <w:gridCol w:w="3136"/>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26-2593535</w:t>
            </w:r>
          </w:p>
        </w:tc>
      </w:tr>
      <w:tr>
        <w:trPr/>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(State 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0"/>
          <w:u w:val="single"/>
        </w:rPr>
        <w:t>101 Glen Lennox Drive, Suite 300, Chapel Hill, North Carolina</w:t>
      </w:r>
      <w:r>
        <w:rPr>
          <w:rFonts w:ascii="Times New Roman" w:hAnsi="Times New Roman"/>
          <w:color w:val="000000"/>
          <w:sz w:val="20"/>
          <w:u w:val="single"/>
        </w:rPr>
        <w:t xml:space="preserve"> </w:t>
      </w:r>
      <w:r>
        <w:rPr>
          <w:rFonts w:ascii="Times New Roman" w:hAnsi="Times New Roman"/>
          <w:b/>
          <w:color w:val="000000"/>
          <w:sz w:val="20"/>
          <w:u w:val="single"/>
        </w:rPr>
        <w:t>27517</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including zip code)</w:t>
      </w:r>
    </w:p>
    <w:p>
      <w:pPr>
        <w:pStyle w:val="TextBody"/>
        <w:bidi w:val="0"/>
        <w:jc w:val="both"/>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(919) 855-2100</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033" w:type="dxa"/>
        <w:jc w:val="left"/>
        <w:tblInd w:w="0" w:type="dxa"/>
        <w:tblLayout w:type="fixed"/>
        <w:tblCellMar>
          <w:top w:w="28" w:type="dxa"/>
          <w:left w:w="28" w:type="dxa"/>
          <w:bottom w:w="28" w:type="dxa"/>
          <w:right w:w="28" w:type="dxa"/>
        </w:tblCellMar>
      </w:tblPr>
      <w:tblGrid>
        <w:gridCol w:w="3706"/>
        <w:gridCol w:w="1621"/>
        <w:gridCol w:w="3706"/>
      </w:tblGrid>
      <w:tr>
        <w:trPr/>
        <w:tc>
          <w:tcPr>
            <w:tcW w:w="370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706"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op w:val="single" w:sz="6" w:space="0" w:color="000000"/>
              <w:left w:val="single" w:sz="6"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706"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621" w:type="dxa"/>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TENX</w:t>
            </w:r>
          </w:p>
        </w:tc>
        <w:tc>
          <w:tcPr>
            <w:tcW w:w="370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314" w:type="dxa"/>
        <w:jc w:val="left"/>
        <w:tblInd w:w="0" w:type="dxa"/>
        <w:tblLayout w:type="fixed"/>
        <w:tblCellMar>
          <w:top w:w="28" w:type="dxa"/>
          <w:left w:w="28" w:type="dxa"/>
          <w:bottom w:w="28" w:type="dxa"/>
          <w:right w:w="28" w:type="dxa"/>
        </w:tblCellMar>
      </w:tblPr>
      <w:tblGrid>
        <w:gridCol w:w="2326"/>
        <w:gridCol w:w="316"/>
        <w:gridCol w:w="2311"/>
        <w:gridCol w:w="361"/>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r>
      <w:tr>
        <w:trPr/>
        <w:tc>
          <w:tcPr>
            <w:tcW w:w="23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by Rule 12b-2 of the Exchange Act). Yes ☐ No ☒</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As of August 11, 2025, the registrant had outstanding 4,562,500 shares of Common Stock.</w:t>
      </w:r>
    </w:p>
    <w:p>
      <w:pPr>
        <w:pStyle w:val="TextBody"/>
        <w:pBdr>
          <w:bottom w:val="double" w:sz="4"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25"/>
        <w:gridCol w:w="8533"/>
        <w:gridCol w:w="109"/>
        <w:gridCol w:w="646"/>
        <w:gridCol w:w="192"/>
      </w:tblGrid>
      <w:tr>
        <w:trPr/>
        <w:tc>
          <w:tcPr>
            <w:tcW w:w="725" w:type="dxa"/>
            <w:tcBorders/>
            <w:vAlign w:val="center"/>
          </w:tcPr>
          <w:p>
            <w:pPr>
              <w:pStyle w:val="TableContents"/>
              <w:bidi w:val="0"/>
              <w:spacing w:before="0" w:after="283"/>
              <w:jc w:val="left"/>
              <w:rPr>
                <w:sz w:val="4"/>
                <w:szCs w:val="4"/>
              </w:rPr>
            </w:pPr>
            <w:r>
              <w:rPr>
                <w:sz w:val="4"/>
                <w:szCs w:val="4"/>
              </w:rPr>
            </w:r>
          </w:p>
        </w:tc>
        <w:tc>
          <w:tcPr>
            <w:tcW w:w="8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25" w:type="dxa"/>
            <w:tcBorders/>
            <w:tcMar>
              <w:top w:w="0" w:type="dxa"/>
              <w:left w:w="0" w:type="dxa"/>
              <w:bottom w:w="0" w:type="dxa"/>
              <w:right w:w="0" w:type="dxa"/>
            </w:tcMar>
            <w:vAlign w:val="center"/>
          </w:tcPr>
          <w:p>
            <w:pPr>
              <w:pStyle w:val="TableContents"/>
              <w:bidi w:val="0"/>
              <w:spacing w:before="0" w:after="283"/>
              <w:jc w:val="left"/>
              <w:rPr/>
            </w:pPr>
            <w:r>
              <w:rPr/>
              <w:t> </w:t>
            </w:r>
          </w:p>
        </w:tc>
        <w:tc>
          <w:tcPr>
            <w:tcW w:w="8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192"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condensed_consolidated_financial">
              <w:r>
                <w:rPr>
                  <w:rStyle w:val="InternetLink"/>
                  <w:rFonts w:ascii="Times New Roman" w:hAnsi="Times New Roman"/>
                  <w:color w:val="0000FF"/>
                  <w:sz w:val="20"/>
                  <w:u w:val="single"/>
                </w:rPr>
                <w:t>Financial Statements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2025 (Unaudited) and December 31, 2024</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(Unaudited) for the Three and Six Months Ended June 30, 2025 and 2024</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 for the Three and Six Months Ended June 30, 2025 and 2024</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
              <w:r>
                <w:rPr>
                  <w:rStyle w:val="InternetLink"/>
                  <w:rFonts w:ascii="Times New Roman" w:hAnsi="Times New Roman"/>
                  <w:color w:val="0000FF"/>
                  <w:sz w:val="20"/>
                  <w:u w:val="single"/>
                </w:rPr>
                <w:t>Condensed Consolidated Statements of Cash Flows (Unaudited) for the Six Months Ended June 30, 2025 and 2024</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
              <w:r>
                <w:rPr>
                  <w:rStyle w:val="InternetLink"/>
                  <w:rFonts w:ascii="Times New Roman" w:hAnsi="Times New Roman"/>
                  <w:color w:val="0000FF"/>
                  <w:sz w:val="20"/>
                  <w:u w:val="single"/>
                </w:rPr>
                <w:t>Notes to Condensed Consolidated Financial Statements (Unaudited)</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2_managements_discussion_and_analys">
              <w:r>
                <w:rPr>
                  <w:rStyle w:val="InternetLink"/>
                  <w:rFonts w:ascii="Times New Roman" w:hAnsi="Times New Roman"/>
                  <w:color w:val="0000FF"/>
                  <w:sz w:val="20"/>
                  <w:u w:val="single"/>
                </w:rPr>
                <w:t>Management’s Discussion and Analysis of Financial Condition and Results of Operations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20"/>
                  <w:u w:val="single"/>
                </w:rPr>
                <w:t>PART II. OTHER INFORMATION</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533"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8" w:type="dxa"/>
            <w:gridSpan w:val="2"/>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 FINANCIAL INFORMATION</w:t>
      </w:r>
    </w:p>
    <w:p>
      <w:pPr>
        <w:pStyle w:val="TextBody"/>
        <w:bidi w:val="0"/>
        <w:spacing w:before="200" w:after="283"/>
        <w:jc w:val="both"/>
        <w:rPr>
          <w:rFonts w:ascii="Times New Roman" w:hAnsi="Times New Roman"/>
          <w:b/>
          <w:color w:val="000000"/>
          <w:sz w:val="20"/>
        </w:rPr>
      </w:pPr>
      <w:bookmarkStart w:id="4" w:name="item_1_condensed_consolidated_financial"/>
      <w:bookmarkEnd w:id="4"/>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5" w:name="condensed_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363"/>
        <w:gridCol w:w="146"/>
        <w:gridCol w:w="226"/>
        <w:gridCol w:w="902"/>
        <w:gridCol w:w="346"/>
        <w:gridCol w:w="346"/>
        <w:gridCol w:w="257"/>
        <w:gridCol w:w="1026"/>
        <w:gridCol w:w="593"/>
      </w:tblGrid>
      <w:tr>
        <w:trPr/>
        <w:tc>
          <w:tcPr>
            <w:tcW w:w="6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105,857</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59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undesignated, authorized 4,818,654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Preferred stock, par value $0.0001, authorized 5,181,346 shares; issued and outstanding 210, as of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par value $0.0001 per share; authorized 400,000,000 shares; issued and outstanding 4,148,495 as of June 30, 2025 and 3,420,906 as of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406,848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(336,110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91,993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105,857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96,686</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6" w:name="condensed_consolidated_statements_operat"/>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404"/>
        <w:gridCol w:w="146"/>
        <w:gridCol w:w="220"/>
        <w:gridCol w:w="1081"/>
        <w:gridCol w:w="173"/>
        <w:gridCol w:w="152"/>
        <w:gridCol w:w="220"/>
        <w:gridCol w:w="971"/>
        <w:gridCol w:w="166"/>
        <w:gridCol w:w="146"/>
        <w:gridCol w:w="216"/>
        <w:gridCol w:w="1061"/>
        <w:gridCol w:w="169"/>
        <w:gridCol w:w="149"/>
        <w:gridCol w:w="216"/>
        <w:gridCol w:w="953"/>
        <w:gridCol w:w="166"/>
        <w:gridCol w:w="596"/>
      </w:tblGrid>
      <w:tr>
        <w:trPr/>
        <w:tc>
          <w:tcPr>
            <w:tcW w:w="3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(10,847</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(21,255</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and prefunded warrants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39,572,177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38,086,800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40"/>
        <w:gridCol w:w="146"/>
        <w:gridCol w:w="249"/>
        <w:gridCol w:w="491"/>
        <w:gridCol w:w="146"/>
        <w:gridCol w:w="146"/>
        <w:gridCol w:w="275"/>
        <w:gridCol w:w="251"/>
        <w:gridCol w:w="146"/>
        <w:gridCol w:w="146"/>
        <w:gridCol w:w="170"/>
        <w:gridCol w:w="686"/>
        <w:gridCol w:w="146"/>
        <w:gridCol w:w="146"/>
        <w:gridCol w:w="275"/>
        <w:gridCol w:w="251"/>
        <w:gridCol w:w="146"/>
        <w:gridCol w:w="146"/>
        <w:gridCol w:w="236"/>
        <w:gridCol w:w="707"/>
        <w:gridCol w:w="146"/>
        <w:gridCol w:w="146"/>
        <w:gridCol w:w="219"/>
        <w:gridCol w:w="718"/>
        <w:gridCol w:w="151"/>
        <w:gridCol w:w="146"/>
        <w:gridCol w:w="258"/>
        <w:gridCol w:w="775"/>
        <w:gridCol w:w="201"/>
      </w:tblGrid>
      <w:tr>
        <w:trPr/>
        <w:tc>
          <w:tcPr>
            <w:tcW w:w="2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 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 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 stockholders'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298,281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305,351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(297,253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8,098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warrants, and prefunded warrants, net of offering costs of $1,028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421,260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8,010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for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973,240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 cashless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205,467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 split and fractional 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(3,799</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1,958,245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313,481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(301,052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12,429</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(3,575</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1,958,245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313,503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(304,627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8,876</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3,420,906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406,848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(314,855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91,993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Public offering sale of common stock and prefunded warrants, net of offering costs of $1,746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23,216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3,970,385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434,554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(325,263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109,291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(10,847</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5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210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4,148,495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439,440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(336,110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2"/>
              </w:rPr>
            </w:pPr>
            <w:r>
              <w:rPr>
                <w:rFonts w:ascii="Times New Roman" w:hAnsi="Times New Roman"/>
                <w:b/>
                <w:color w:val="000000"/>
                <w:sz w:val="12"/>
              </w:rPr>
              <w:t>103,330</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8" w:name="condensed_consolidated_statements_cash"/>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both"/>
        <w:rPr/>
      </w:pPr>
      <w:r>
        <w:rPr/>
        <w:t> </w:t>
      </w:r>
    </w:p>
    <w:tbl>
      <w:tblPr>
        <w:tblW w:w="9964" w:type="dxa"/>
        <w:jc w:val="left"/>
        <w:tblInd w:w="0" w:type="dxa"/>
        <w:tblLayout w:type="fixed"/>
        <w:tblCellMar>
          <w:top w:w="28" w:type="dxa"/>
          <w:left w:w="28" w:type="dxa"/>
          <w:bottom w:w="28" w:type="dxa"/>
          <w:right w:w="28" w:type="dxa"/>
        </w:tblCellMar>
      </w:tblPr>
      <w:tblGrid>
        <w:gridCol w:w="6661"/>
        <w:gridCol w:w="346"/>
        <w:gridCol w:w="211"/>
        <w:gridCol w:w="781"/>
        <w:gridCol w:w="366"/>
        <w:gridCol w:w="346"/>
        <w:gridCol w:w="211"/>
        <w:gridCol w:w="631"/>
        <w:gridCol w:w="411"/>
      </w:tblGrid>
      <w:tr>
        <w:trPr/>
        <w:tc>
          <w:tcPr>
            <w:tcW w:w="66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4"/>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debt instrument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8,751</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warrants and pre-funded warrants, net of issuance costs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23,216</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the exercise of warrants and pre-funded warrants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short-term note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94,851</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105,462</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TENAX THERAPEUTICS, INC.</w:t>
      </w:r>
    </w:p>
    <w:p>
      <w:pPr>
        <w:pStyle w:val="TextBody"/>
        <w:bidi w:val="0"/>
        <w:jc w:val="center"/>
        <w:rPr>
          <w:rFonts w:ascii="Times New Roman" w:hAnsi="Times New Roman"/>
          <w:b/>
          <w:color w:val="000000"/>
          <w:sz w:val="20"/>
        </w:rPr>
      </w:pPr>
      <w:bookmarkStart w:id="9" w:name="notes_to_condensed_consolidated_financi"/>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Tenax Therapeutics, Inc., together with its subsidiaries (collectively “Tenax” or the “Company”), is a Phase 3, development-stage pharmaceutical company using clinical insights to develop novel cardiopulmonary therapies.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incorporated in Delaware and is headquartered in Chapel Hill, North Carolina.</w:t>
      </w:r>
    </w:p>
    <w:p>
      <w:pPr>
        <w:pStyle w:val="TextBody"/>
        <w:bidi w:val="0"/>
        <w:spacing w:before="200" w:after="240"/>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has financed its operations since September 1990 primarily through the sale of equity and debt securities and loans from stockholders. The Company had an accumulated deficit of $336.1 million at June 30, 2025 and incurred losses of $21.3 million and $7.4 million during the six months ended June 30, 2025 and 2024, respectively. The Company expects to continue to incur expenses related to the development of levosimendan for pulmonary hypertension and other potential indications and, over the long term, imatinib for pulmonary arterial hypertension (“PAH”), as well as identifying and developing other potential product candidates. At June 30, 2025, the Company had cash and cash equivalents of $105.5 million. Based on its resources on June 30, 2025, Company management believes that it has sufficient funds for the Company to continue its operations over at least the next 12 months from the date these condensed consolidated financial statements were available to be issued.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documents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 Any or all of the foregoing may have a material adverse effect on the Company’s business and financial performance.</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GAAP for interim financial information and the instructions to Form 10</w:t>
        <w:noBreakHyphen/>
        <w:t>Q and Article 10 of Regulation S-X. Accordingly, they do not include all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25, 2025, from which the Company derived the balance sheet data on December 31,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the Company and its subsidiaries. Intercompany balances and transactions have been eliminated upon consolidation.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00" w:after="240"/>
        <w:jc w:val="both"/>
        <w:rPr>
          <w:rFonts w:ascii="Times New Roman" w:hAnsi="Times New Roman"/>
          <w:color w:val="000000"/>
          <w:sz w:val="20"/>
        </w:rPr>
      </w:pPr>
      <w:r>
        <w:rPr>
          <w:rFonts w:ascii="Times New Roman" w:hAnsi="Times New Roman"/>
          <w:color w:val="000000"/>
          <w:sz w:val="20"/>
        </w:rPr>
        <w:t>There have been no material changes in the Company’s significant accounting policies to those previously disclosed in the Annual Report on Form 10-K for the year ended December 31, 2024, other than the following:</w:t>
      </w:r>
    </w:p>
    <w:p>
      <w:pPr>
        <w:pStyle w:val="TextBody"/>
        <w:bidi w:val="0"/>
        <w:jc w:val="both"/>
        <w:rPr>
          <w:rFonts w:ascii="Times New Roman" w:hAnsi="Times New Roman"/>
          <w:b/>
          <w:i/>
          <w:color w:val="000000"/>
          <w:sz w:val="20"/>
        </w:rPr>
      </w:pPr>
      <w:r>
        <w:rPr>
          <w:rFonts w:ascii="Times New Roman" w:hAnsi="Times New Roman"/>
          <w:b/>
          <w:i/>
          <w:color w:val="000000"/>
          <w:sz w:val="20"/>
        </w:rPr>
        <w:t>Cash Concentration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Federal Deposit Insurance Corporation (the “FDIC”) insurance limits are $250,000 per depositor per insured bank. The Company had cash balances of $15.9 million and $1.0 million uninsured by the FDIC as of June 30, 2025 and December 31, 2024, respectively. In August 2023, the Company, through its commercial bank began to utilize the IntraFi network of commercial banks. IntraFi deposits $250,000 in each of its member banks to maintain the FDIC insurance limit. On June 30, 2025, $89.5 million of the Company's cash and cash equivalents was fully FDIC insured.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pStyle w:val="TextBody"/>
        <w:bidi w:val="0"/>
        <w:jc w:val="both"/>
        <w:rPr/>
      </w:pPr>
      <w:r>
        <w:rPr/>
        <w:t> </w:t>
      </w:r>
    </w:p>
    <w:tbl>
      <w:tblPr>
        <w:tblW w:w="6309" w:type="dxa"/>
        <w:jc w:val="left"/>
        <w:tblInd w:w="0" w:type="dxa"/>
        <w:tblLayout w:type="fixed"/>
        <w:tblCellMar>
          <w:top w:w="28" w:type="dxa"/>
          <w:left w:w="28" w:type="dxa"/>
          <w:bottom w:w="28" w:type="dxa"/>
          <w:right w:w="28" w:type="dxa"/>
        </w:tblCellMar>
      </w:tblPr>
      <w:tblGrid>
        <w:gridCol w:w="3421"/>
        <w:gridCol w:w="146"/>
        <w:gridCol w:w="146"/>
        <w:gridCol w:w="1036"/>
        <w:gridCol w:w="146"/>
        <w:gridCol w:w="146"/>
        <w:gridCol w:w="146"/>
        <w:gridCol w:w="931"/>
        <w:gridCol w:w="1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19,740,901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3,219,694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preferred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Reclassification of Prior Year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year amounts have been reclassified. These reclassifications had no effect on the financial position or reported results of operations for the periods presented. In the Condensed Consolidated Statements of Stockholders' Equity for the three months ended March 31, 2024, the presentation of the public offering sale of common stock, warrants, and pre-funded warrants was presented as proceeds, net of offering costs, of $6.2 million in additional paid-in capital and $1.8 million attributed to the exercise of pre-funded warrants. In the current presentation, this is now presented as $8.0 million, net of offering costs of $1.0 million for the public offering of common stock, warrants, and pre-funded warrants and $1 thousand attributed to the exercise of pre-funded warrants.</w:t>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ACCRUED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liabilities consist of the following (in thousands):</w:t>
      </w:r>
    </w:p>
    <w:p>
      <w:pPr>
        <w:pStyle w:val="TextBody"/>
        <w:bidi w:val="0"/>
        <w:jc w:val="left"/>
        <w:rPr/>
      </w:pPr>
      <w:r>
        <w:rPr/>
        <w:t> </w:t>
      </w:r>
    </w:p>
    <w:p>
      <w:pPr>
        <w:pStyle w:val="TextBody"/>
        <w:bidi w:val="0"/>
        <w:jc w:val="both"/>
        <w:rPr/>
      </w:pPr>
      <w:r>
        <w:rPr/>
        <w:t> </w:t>
      </w:r>
    </w:p>
    <w:tbl>
      <w:tblPr>
        <w:tblW w:w="5175" w:type="dxa"/>
        <w:jc w:val="left"/>
        <w:tblInd w:w="0" w:type="dxa"/>
        <w:tblLayout w:type="fixed"/>
        <w:tblCellMar>
          <w:top w:w="28" w:type="dxa"/>
          <w:left w:w="28" w:type="dxa"/>
          <w:bottom w:w="28" w:type="dxa"/>
          <w:right w:w="28" w:type="dxa"/>
        </w:tblCellMar>
      </w:tblPr>
      <w:tblGrid>
        <w:gridCol w:w="1546"/>
        <w:gridCol w:w="146"/>
        <w:gridCol w:w="344"/>
        <w:gridCol w:w="931"/>
        <w:gridCol w:w="146"/>
        <w:gridCol w:w="146"/>
        <w:gridCol w:w="465"/>
        <w:gridCol w:w="1260"/>
        <w:gridCol w:w="1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Simdax license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November 13, 2013, the Company acquired certain assets of Phyxius Pharma, Inc. (“Phyxius”) pursuant to an asset purchase agreement by and among the Company, Phyxius and the stockholders of Phyxius, dated October 21, 2013. Among these assets was a license with Orion Corporation (“Orion”) for the exclusive, sublicensable right to develop and commercialize pharmaceutical products containing levosimendan, 2.5 mg/ml concentrate for solution for infusion / 5ml vial in the United States and Canada (the “License”). On October 9, 2020 and January 25, 2022, the Company entered into amendments to the License to include in the scope of the License two new oral product formulations containing levosimendan, in capsule and solid dosage form (TNX-103) and a subcutaneously administered dosage form (TNX-102), subject to specified limitations (together, the “Product”).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19, 2024, the Company entered into an additional amendment to the License providing global rights to oral and subcutaneous formulations of levosimendan used in the treatment of pulmonary hypertension in heart failure with preserved ejection fraction (“PH-HFpEF”). The amendment also reduced the tiered royalties based on worldwide net sales of the product by the Company and its sublicensees, increased the License’s existing milestone payment due to Orion upon the grant of United States Food and Drug Administration approval of a levosimendan-based product to $10.0 million and added a milestone payment to Orion of $5.0 million due upon the grant of regulatory approval for a levosimendan-based product in Japan. The amendment also (i) increased the Company’s obligations to make certain non-refundable commercialization milestone payments to Orion, aggregating to up to $45.0 million, contingent upon achievement of certain cumulative worldwide sales of the product by the Company, and (ii) reduced the maximum price per capsule payable by the Company to Orion, under a yet-to-be-negotiated supply agreement, for the commercial supply of oral levosimendan-based product. Pursuant to the License, the Company and Orion will agree to a new trademark when commercializing levosimendan in either of the dosage forms.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License also grants the Company a right of first refusal to commercialize new developments of the Product, including developments as to the formulation, presentation, means of delivery, route of administration, dosage or indication but, pursuant to the February 2024 amendment, excluding new applications of levosimendan for neurological diseases and disorders developed by Orion.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2025, the Company has not met any of the developmental milestones under the License and, accordingly, has not recorded any liability for the contingent payments due to Orion.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subject to litigation in the normal course of business, none of which management believes will have a material adverse effect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Preferred Stock</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Company’s Certificate of Incorporation, as amended, authorizes the issuance of 400,000,000 shares of $0.0001 par value common stock. As of June 30, 2025 and December 31, 2024, there were 4,148,495 and 3,420,906 shares of common stock issued and outstanding, respectively.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Preferred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Company’s Certificate of Incorporation, as amended,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 Of the potential 10,000,000 shares of preferred stock, 5,181,346 are designated as Series A Stock and 4,818,654 remain undesignated. As of June 30, 2025 and December 31, 2024, there were 210 shares of Series A Stock outstanding, convertible in the aggregate into one share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Common Stock and Pre-Funded Warrants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March 2025 Private Placement Financing (the “March 2025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March 4, 2025, the Company entered into a securities purchase agreement with certain accredited investors for the purchase and sale, in a private placement financing by the Company, of (i) an aggregate of 378,346 shares of its common stock, and pre-funded warrants to purchase an aggregate of 3,760,726 shares of common stock at an offering price of $6.04 per share of common stock and $6.03 per pre-funded warrant, resulting in gross proceeds of $25.0 million. The pre-funded warrants do not expire and have an exercise price of $0.01. The net proceeds of the March 2025 Offering after deducting placement agent fees and direct offering expenses were $23.2 million. The relative fair value allocated to the common stock and pre-funded warrants was $2.3 million and $22.7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March 5, 2025 and in connection with the March 2025 Offering, the Company entered into a registration rights agreement (the “March 2025 Registration Rights Agreement”) with the purchasers, pursuant to which the Company agreed to register for resale the shares of common stock issued in the March 2025 Offering and the shares of common stock issuable upon exercise of the pre-funded warrants issued in the March 2025 Offering within 45 days of the closing date. Pursuant to the March 2025 Registration Rights Agreement, on April 15, 2025, the Company filed a resale registration statement on Form S-3 with the SEC, which went effective on April 23,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March 2025 Registration Rights Agreement includes liquidated damages provisions that meet the definition of a registration payment arrangement that is within the scope of ASC 825-20. The Company determined at the initial issuance of the pre-funded warrants that it is not probable that a payment would be required as it has both the intent and ability to satisfy the March 2025 Registration Rights Agreement. Therefore, the Company did not record a liability at inception but will evaluate the contingency at each reporting period. As of June 30, 2025, no events had occurred that would change our initial assessment of this provision.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August 2024 Private Placement Financing (the “August 2024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August 6, 2024, the Company entered into a securities purchase agreement with certain accredited investors for the purchase and sale, in a private placement financing by the Company, of (i) an aggregate of 1,450,661 shares of its common stock, and pre-funded warrants to purchase an aggregate of 31,882,671 shares of common stock and (ii) accompanying warrants to purchase up to an aggregate of 16,666,666 shares of its common stock (or, in lieu thereof, additional pre-funded warrants) at a combined offering price of $3.00 per share of common stock and accompanying warrant, or $2.99 per pre-funded warrant and accompanying warrant, resulting in gross proceeds of $99.7 million. The pre-funded warrants do not expire and have an exercise price of $0.01. The net proceeds of the August 2024 Offering after deducting placement agent fees and direct offering expenses were $92.3 million. The relative fair value allocated to the common stock, pre-funded warrants, and accompanying warrants was $3.2 million, $69.4 million, and $27.1 million,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on August 6, 2024 and in connection with the August 2024 Offering, the Company entered into a registration rights agreement (the “August 2024 Registration Rights Agreement”) with the purchasers, pursuant to which the Company agreed to register for resale the shares of common stock issued in the August 2024 Offering and the shares of common stock issuable upon exercise of the warrants issued in the August 2024 Offering within 60 days following the effective date of the August 2024 Registration Rights Agreement. Pursuant to the August 2024 Registration Rights Agreement, on August 30, 2024, the Company filed a resale registration statement on Form S-3 with the SEC, which went effective on September 12,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August 2024 Registration Rights Agreement includes liquidated damages provisions that meet the definition of a registration payment arrangement that is within the scope of ASC 825-20. The Company determined at the initial issuance of the pre-funded warrants and accompanying warrant that it is not probable that a payment would be required as it has both the intent and ability to satisfy the August 2024 Registration Rights Agreement. Therefore, the Company did not record a liability at inception but will evaluate the contingency at each reporting period. As of June 30, 2025, no events have occurred that would change our initial assessment of this provision.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Registered Public Offering (the “February 2024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February 8, 2024, the Company entered into a securities purchase agreement with certain purchasers for the purchase and sale, in a registered public offering by the Company, of (i) an aggregate of 421,260 shares of its common stock, and pre-funded warrants to purchase an aggregate of 1,178,740 shares of common stock and (ii) accompanying warrants to purchase up to an aggregate of 3,200,000 shares of its common stock at a combined offering price of $5.65 per share of common stock and associated warrant, or $5.649 per pre-funded warrant and accompanying warrant, resulting in gross proceeds of $9.0 million. The net proceeds of the February 2024 Offering after deducting placement agent fees and direct offering expenses were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$8.0 million. The relative fair value allocated to the common stock, pre-funded warrants and warrants was $0.9 million, $2.4 million, and $5.7 million, respectively.</w:t>
      </w:r>
    </w:p>
    <w:p>
      <w:pPr>
        <w:pStyle w:val="TextBody"/>
        <w:bidi w:val="0"/>
        <w:spacing w:before="200" w:after="283"/>
        <w:jc w:val="both"/>
        <w:rPr>
          <w:rFonts w:ascii="Times New Roman" w:hAnsi="Times New Roman"/>
          <w:sz w:val="20"/>
        </w:rPr>
      </w:pPr>
      <w:r>
        <w:rPr>
          <w:rFonts w:ascii="Times New Roman" w:hAnsi="Times New Roman"/>
          <w:i/>
          <w:color w:val="000000"/>
          <w:sz w:val="20"/>
        </w:rPr>
        <w:t>Pre-Funded Warrants Activity</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pre-funded warrant activity for the six months ended June 30, 2025: </w:t>
      </w:r>
    </w:p>
    <w:p>
      <w:pPr>
        <w:pStyle w:val="TextBody"/>
        <w:bidi w:val="0"/>
        <w:spacing w:before="200" w:after="283"/>
        <w:jc w:val="both"/>
        <w:rPr/>
      </w:pPr>
      <w:r>
        <w:rPr/>
        <w:t> </w:t>
      </w:r>
    </w:p>
    <w:tbl>
      <w:tblPr>
        <w:tblW w:w="6860" w:type="dxa"/>
        <w:jc w:val="left"/>
        <w:tblInd w:w="0" w:type="dxa"/>
        <w:tblLayout w:type="fixed"/>
        <w:tblCellMar>
          <w:top w:w="28" w:type="dxa"/>
          <w:left w:w="28" w:type="dxa"/>
          <w:bottom w:w="28" w:type="dxa"/>
          <w:right w:w="28" w:type="dxa"/>
        </w:tblCellMar>
      </w:tblPr>
      <w:tblGrid>
        <w:gridCol w:w="3031"/>
        <w:gridCol w:w="146"/>
        <w:gridCol w:w="228"/>
        <w:gridCol w:w="1617"/>
        <w:gridCol w:w="166"/>
        <w:gridCol w:w="146"/>
        <w:gridCol w:w="415"/>
        <w:gridCol w:w="920"/>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Prefunded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31,882,671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35,427,515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Company’s warrant activity for the six months ended June 30, 2025, not including pre-funded warrants: </w:t>
      </w:r>
    </w:p>
    <w:p>
      <w:pPr>
        <w:pStyle w:val="TextBody"/>
        <w:bidi w:val="0"/>
        <w:jc w:val="both"/>
        <w:rPr/>
      </w:pPr>
      <w:r>
        <w:rPr/>
        <w:t> </w:t>
      </w:r>
    </w:p>
    <w:tbl>
      <w:tblPr>
        <w:tblW w:w="6197" w:type="dxa"/>
        <w:jc w:val="left"/>
        <w:tblInd w:w="0" w:type="dxa"/>
        <w:tblLayout w:type="fixed"/>
        <w:tblCellMar>
          <w:top w:w="28" w:type="dxa"/>
          <w:left w:w="28" w:type="dxa"/>
          <w:bottom w:w="28" w:type="dxa"/>
          <w:right w:w="28" w:type="dxa"/>
        </w:tblCellMar>
      </w:tblPr>
      <w:tblGrid>
        <w:gridCol w:w="3031"/>
        <w:gridCol w:w="146"/>
        <w:gridCol w:w="146"/>
        <w:gridCol w:w="1036"/>
        <w:gridCol w:w="166"/>
        <w:gridCol w:w="146"/>
        <w:gridCol w:w="271"/>
        <w:gridCol w:w="1064"/>
        <w:gridCol w:w="1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19,874,360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19,740,901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August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as part of the August 2024 Offering, the Company issued unregistered warrants to purchase 16,666,666 shares of its common stock at an exercise price of $4.50 per share. The warrants expire at the earlier of (i) 30 trading days following the date of the Company’s initial public announcement of topline data from its Phase 3 LEVEL trial (the “Topline Data Announcement”), (ii) immediately upon the exercise of the August 2024 pre-funded warrants if such exercise is prior to the Topline Data Announcement, provided that if the pre-funded warrant is not exercised in full, the warrant expires proportionally to the extent the pre-funded warrant is exercised, and (iii) August 8, 2029. The warrants have an estimated term of 1.8 years. The unregistered warrants were offered in a private placement under Section 4(a)(2) of the Securities Act of 1933, as amended (the “Securities Act”) and Regulation D promulgated thereunder. In accordance with ASC 815, Derivatives and Hedging, these warrants are classified as equity and their relative fair value of $27.1 million was recognized as additional paid in capital. The estimated fair value is determined using the Black-Scholes option pricing model using the following assumptions: remaining estimated term of 1.8 years, risk free interest rate of 3.83%, expected dividends of zero, and expected volatility of 177.27%.</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February 2024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described above, as a part of the February 2024 Offering, the Company issued registered warrants to purchase 3,200,000 shares of its common stock at an exercise price of $5.65 per share and contractual term of five years. In accordance with ASC 815, Derivatives and Hedging, these warrants are classified as equity and their relative fair value of $5.7 million was recognized as additional paid in capital. The estimated fair value was determined using the Black-Scholes option pricing model using the following assumptions: remaining estimated term of 5.0 years, risk free interest rate of 4.12%, expected dividends of zero, and expected volatility of 131.87%.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Stock Incentive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2022, the Company adopted the 2022 Stock Incentive Plan, as amended on June 7, 2024 and October 25, 2024, (the “2022 Plan”), with the outstanding shares available for future grants under prior plans, as well as outstanding awards under prior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plans that subsequently expire, terminate or are surrendered or forfeited, generally being assumed by the 2022 Plan. Unexpired awards granted under certain prior plans may be subject to the terms of such prior plans.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2022 Plan, with the approval of the Board’s Compensation Committee, the Company may grant stock options, stock appreciation rights, restricted stock, restricted stock units, performance shares, performance units, cash-based awards or other stock-based awards. Stock options granted under the 2022 Plan may be either incentive stock options (“ISOs”) or nonqualified stock options (“NSOs”). ISOs may be granted only to employees. NSOs may be granted to employees, consultants and directors. Stock options under the 2022 Plan may be granted with a term of up to ten years and at prices no less than fair market value at the time of grant. Stock options granted generally vest over one to four years.</w:t>
      </w:r>
    </w:p>
    <w:p>
      <w:pPr>
        <w:pStyle w:val="TextBody"/>
        <w:bidi w:val="0"/>
        <w:spacing w:before="200" w:after="283"/>
        <w:jc w:val="both"/>
        <w:rPr>
          <w:rFonts w:ascii="Times New Roman" w:hAnsi="Times New Roman"/>
          <w:sz w:val="20"/>
        </w:rPr>
      </w:pPr>
      <w:r>
        <w:rPr>
          <w:rFonts w:ascii="Times New Roman" w:hAnsi="Times New Roman"/>
          <w:color w:val="000000"/>
          <w:sz w:val="20"/>
        </w:rPr>
        <w:t>A total of 2,281,121 shares remained available for issuance under the 2022 Plan as of</w:t>
      </w:r>
      <w:r>
        <w:rPr>
          <w:rFonts w:ascii="Times New Roman" w:hAnsi="Times New Roman"/>
          <w:color w:val="212529"/>
          <w:sz w:val="20"/>
        </w:rPr>
        <w:t xml:space="preserve"> June 30,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Summary of Stock 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Transactions during the six months ended June 30, 2025 related to stock options granted to employees and directors under Company option plans were as follows: </w:t>
      </w:r>
    </w:p>
    <w:p>
      <w:pPr>
        <w:pStyle w:val="TextBody"/>
        <w:bidi w:val="0"/>
        <w:jc w:val="both"/>
        <w:rPr/>
      </w:pPr>
      <w:r>
        <w:rPr/>
        <w:t> </w:t>
      </w:r>
    </w:p>
    <w:tbl>
      <w:tblPr>
        <w:tblW w:w="9723" w:type="dxa"/>
        <w:jc w:val="left"/>
        <w:tblInd w:w="0" w:type="dxa"/>
        <w:tblLayout w:type="fixed"/>
        <w:tblCellMar>
          <w:top w:w="28" w:type="dxa"/>
          <w:left w:w="28" w:type="dxa"/>
          <w:bottom w:w="28" w:type="dxa"/>
          <w:right w:w="28" w:type="dxa"/>
        </w:tblCellMar>
      </w:tblPr>
      <w:tblGrid>
        <w:gridCol w:w="3826"/>
        <w:gridCol w:w="146"/>
        <w:gridCol w:w="146"/>
        <w:gridCol w:w="931"/>
        <w:gridCol w:w="166"/>
        <w:gridCol w:w="146"/>
        <w:gridCol w:w="211"/>
        <w:gridCol w:w="1036"/>
        <w:gridCol w:w="146"/>
        <w:gridCol w:w="146"/>
        <w:gridCol w:w="289"/>
        <w:gridCol w:w="926"/>
        <w:gridCol w:w="146"/>
        <w:gridCol w:w="146"/>
        <w:gridCol w:w="374"/>
        <w:gridCol w:w="75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b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 life</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109,440.00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6,056,433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recorded compensation expense for stock options granted under Company stock incentive plans of $4.5 million and $8.5 million for the three and six months ended June 30, 2025, respectively, and $10 thousand and $28 thousand for the three and six months ended June 30, 2024,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2025, there were unrecognized compensation costs of $26.5 million related to non-vested stock option awards that will be recognized on a straight-line basis over the weighted average remaining vesting period of 1.90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Inducement Stock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250,000 shares of common stock to a new employee on January 21, 2025. This employment inducement stock option was awarded in accordance with the employment inducement award exemption provided by Nasdaq Listing Rule 5635(c)(4) and was therefore not awarded under the Company’s stockholder approved equity plan. The option award will vest in four equal annual installments beginning on the first anniversary of the date of issuance, subject to the employee's continued employment with the Company through each applicable vesting date. The option has a 10-year term and an exercise price of $6.45 per share, the January 21, 2025 closing price of the Company’s common stock. The estimated fair value of the inducement stock option award was $1.4 million using the Black-Scholes option pricing model based on market prices and the following assumptions at the date of inducement option grant: risk-free interest rate of 4.49%, dividend yield of 0%, volatility factor for our common stock of 123.41% and an expected life of 6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granted an employment inducement stock option award for 157 shares of common stock, to its then-new President and Chief Executive Officer on July 6, 2021. The employment inducement stock option award was granted in accordance with the employment inducement award exemption provided by Nasdaq Listing Rule 5635(c)(4) and was therefore not awarded under the Company’s stockholder approved equity plan. This award vests as follows: 25% on the one-year anniversary of the Chief Executive Officer's employment start date and an additional 25% on each of the following three anniversaries of the Chief Executive Officer's employment start date, subject to continued employment. The option has a 10-year term and an exercise price of $3,152 per share, the July 6, 2021 closing price of our common stock. As of June 30, 2025, 75% of the vesting milestones had been achieved. The estimated fair value of this inducement stock option award was $403 thousand using the Black-Scholes option pricing model based on market prices and the following assumptions at the date of inducement option grant: risk-free interest rate of 1.13%, dividend yield of 0%, volatility factor for our common stock of 99.36% and an expected life of 7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also granted an employment inducement stock option award for 157 shares of common stock to its then-new Chief Medical Officer on January 15, 2021. This employment inducement stock option was awarded in accordance with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$2,848 per share, the January 15, 2021 closing price of our common stock. As of June 30, 2025, two of the vesting milestones had been achieved. The estimated fair value of the inducement stock option award granted was $403 thousand using the Black-Scholes option pricing model based on market prices and the following assumptions at the date of inducement option grant: risk-free interest rate of 11%, dividend yield of 0%, volatility factor for our common stock of 103.94% and an expected life of 10 years.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Inducement stock option compensation expense totaled $96 thousand and $237 thousand for the three and six months ended June 30, 2025, respectively, and $13 thousand and $116 thousand for the three and six months ended June 30, 2024, respectively. As of June 30, 2025, there was $1.5 million of remaining unrecognized compensation expense related to these inducement stock options.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 SEGMENTS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the President and Chief Executive Officer, views the Company's operations as one operating segment, which is focused on identifying and developing therapeutics that address cardiovascular and pulmonary diseases with high unmet medical need, with an initial therapeutic focus on pulmonary hypertension. The Company does not have revenue in the current comparative period, incurs expenses primarily in the United States and manages the business activities on a consolidated basis.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accounting policies of the cardiovascular and pulmonary therapeutics segment are the same as those described in the summary of significant accounting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CODM assesses performance for the cardiovascular and pulmonary therapeutics segment and decides how to allocate resources based on net loss that also is reported on the income statement as consolidated net loss. The measure of segment assets is reported on the balance sheet as 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has not generated any product revenue in the current period and expects to continue to incur significant expenses and operating losses for the foreseeable future as the Company advances its product candidates through all stages of development and clinical trials.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such, the CODM uses cash forecast models in deciding how to invest into the cardiovascular and pulmonary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table below summarizes the significant expense categories regularly reviewed by the CODM for the three and six months ended June 30, 2025 and 2024 (in thousands). </w:t>
      </w:r>
    </w:p>
    <w:p>
      <w:pPr>
        <w:pStyle w:val="TextBody"/>
        <w:bidi w:val="0"/>
        <w:spacing w:before="200" w:after="283"/>
        <w:jc w:val="both"/>
        <w:rPr/>
      </w:pPr>
      <w:r>
        <w:rPr/>
        <w:t> </w:t>
      </w:r>
    </w:p>
    <w:tbl>
      <w:tblPr>
        <w:tblW w:w="10084" w:type="dxa"/>
        <w:jc w:val="left"/>
        <w:tblInd w:w="0" w:type="dxa"/>
        <w:tblLayout w:type="fixed"/>
        <w:tblCellMar>
          <w:top w:w="28" w:type="dxa"/>
          <w:left w:w="28" w:type="dxa"/>
          <w:bottom w:w="28" w:type="dxa"/>
          <w:right w:w="28" w:type="dxa"/>
        </w:tblCellMar>
      </w:tblPr>
      <w:tblGrid>
        <w:gridCol w:w="2696"/>
        <w:gridCol w:w="209"/>
        <w:gridCol w:w="706"/>
        <w:gridCol w:w="605"/>
        <w:gridCol w:w="583"/>
        <w:gridCol w:w="209"/>
        <w:gridCol w:w="610"/>
        <w:gridCol w:w="566"/>
        <w:gridCol w:w="546"/>
        <w:gridCol w:w="196"/>
        <w:gridCol w:w="663"/>
        <w:gridCol w:w="568"/>
        <w:gridCol w:w="547"/>
        <w:gridCol w:w="196"/>
        <w:gridCol w:w="573"/>
        <w:gridCol w:w="611"/>
      </w:tblGrid>
      <w:tr>
        <w:trPr/>
        <w:tc>
          <w:tcPr>
            <w:tcW w:w="26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11,804</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General and administrative</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11,326</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6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5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 (a)</w:t>
            </w:r>
          </w:p>
        </w:tc>
        <w:tc>
          <w:tcPr>
            <w:tcW w:w="91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60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5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expense</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26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income (expense), net</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 (b)</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(21,255</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segment items included in segment loss includes interest income and interest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a single operating segment and therefore the measure of segment net loss is the same as consolidated net loss and does not require reconciliation.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 six months ended June 30, 2025 and 2024, the net cash used in operating activities was $13.2 million and $8.2 million, respectively. The table below summarizes the significant asset categories regularly reviewed by the CODM at June 30, 2025 and June 30, 2024 (in thousands). </w:t>
      </w:r>
    </w:p>
    <w:tbl>
      <w:tblPr>
        <w:tblW w:w="7045" w:type="dxa"/>
        <w:jc w:val="left"/>
        <w:tblInd w:w="0" w:type="dxa"/>
        <w:tblLayout w:type="fixed"/>
        <w:tblCellMar>
          <w:top w:w="28" w:type="dxa"/>
          <w:left w:w="28" w:type="dxa"/>
          <w:bottom w:w="28" w:type="dxa"/>
          <w:right w:w="28" w:type="dxa"/>
        </w:tblCellMar>
      </w:tblPr>
      <w:tblGrid>
        <w:gridCol w:w="2666"/>
        <w:gridCol w:w="271"/>
        <w:gridCol w:w="1004"/>
        <w:gridCol w:w="546"/>
        <w:gridCol w:w="546"/>
        <w:gridCol w:w="344"/>
        <w:gridCol w:w="931"/>
        <w:gridCol w:w="146"/>
        <w:gridCol w:w="591"/>
      </w:tblGrid>
      <w:tr>
        <w:trPr/>
        <w:tc>
          <w:tcPr>
            <w:tcW w:w="26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2025</w:t>
            </w:r>
          </w:p>
        </w:tc>
        <w:tc>
          <w:tcPr>
            <w:tcW w:w="5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Assets:</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26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105,462</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SUBSEQUENT EVENTS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Subsequent to June 30, 2025, the Company received a total of $0.6 million from the exercise of pre-funded warrants for 271,091 shares of common stock, net due to cashless exercise, and warrants for 142,914 shares of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0" w:name="item_2_managements_discussion_and_analys"/>
      <w:bookmarkEnd w:id="10"/>
      <w:r>
        <w:rPr>
          <w:rFonts w:ascii="Times New Roman" w:hAnsi="Times New Roman"/>
          <w:b/>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2024. All references in this Quarterly Report to “Tenax Therapeutics,” “we,” “our” and “us” means Tenax Therapeutics,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160"/>
        <w:jc w:val="both"/>
        <w:rPr>
          <w:rFonts w:ascii="Times New Roman" w:hAnsi="Times New Roman"/>
          <w:color w:val="000000"/>
          <w:sz w:val="20"/>
        </w:rPr>
      </w:pPr>
      <w:r>
        <w:rPr>
          <w:rFonts w:ascii="Times New Roman" w:hAnsi="Times New Roman"/>
          <w:color w:val="000000"/>
          <w:sz w:val="20"/>
        </w:rPr>
        <w:t>Tenax Therapeutics is a clinical-stage pharmaceutical company leveraging clinical insights to develop novel cardiopulmonary therapies. We employ a clinician-driven drug development approach, led by key opinion leaders and advised by thought leaders who are pulmonary hypertension and heart failure experts and informed by their clinical insights to precisely target disease pathophysiology. We are currently actively conducting the LEVEL clinical trial to evaluate levosimendan as our prioritized product candidate, and have deprioritized a Phase 3 clinical trial of imatinib, two drugs supported by promising evidence that they may significantly improve the lives of patients with pulmonary hypertension. Importantly, both levosimendan and imatinib have already been approved in other indications and prescribed around the world for more than 20 years, and we believe their mechanisms of action are uniquely suitable to target and treat pulmonary hypertension. We believe this derisked approach of using already-approved drugs that provide well-established safety profiles from millions of patients, combined with a development path led by preeminent cardiology and pulmonary hypertension experts, puts us in a strong position to deliver breakthrough cardiopulmonary therapies designed to improve patients’ function and quality of life.</w:t>
      </w:r>
    </w:p>
    <w:p>
      <w:pPr>
        <w:pStyle w:val="TextBody"/>
        <w:bidi w:val="0"/>
        <w:spacing w:before="40" w:after="160"/>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In March 2025, we closed a private placement financing (the “March 2025 Offering”) raising gross proceeds of approximately $25.0 million. We intend to use the net proceeds from the March 2025 Offering to advance our Phase 3 oral levosimendan program, by completing our ongoing Phase 3 LEVEL study of TNX-103 in pulmonary hypertension resulting from heart failure with preserved ejection fraction (PH-HFpEF) and initiating a second global Phase 3 study, LEVEL-2. We intend to submit marketing authorization applications following completion of the two Phase 3 trials of levosimendan and, when appropriate, a single Phase 3 trial of imatinib.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Patient enrollment in our Phase 3 LEVEL study continues, with high rates of study and therapy continuation during the blinded and open-label extension stages. We expect to complete enrollment of 230 patients in the first half of 2026. LEVEL is being conducted in Canada and the United States. We remain on track to commence LEVEL-2 this year. The LEVEL-2 trial will have a global footprint. </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Given our resources on June 30, 2025, we believe we can continue our operations through 2027.</w:t>
      </w:r>
    </w:p>
    <w:p>
      <w:pPr>
        <w:pStyle w:val="TextBody"/>
        <w:bidi w:val="0"/>
        <w:spacing w:before="40" w:after="283"/>
        <w:jc w:val="both"/>
        <w:rPr>
          <w:rFonts w:ascii="Times New Roman" w:hAnsi="Times New Roman"/>
          <w:b/>
          <w:i/>
          <w:color w:val="000000"/>
          <w:sz w:val="20"/>
        </w:rPr>
      </w:pPr>
      <w:r>
        <w:rPr>
          <w:rFonts w:ascii="Times New Roman" w:hAnsi="Times New Roman"/>
          <w:b/>
          <w:i/>
          <w:color w:val="000000"/>
          <w:sz w:val="20"/>
        </w:rPr>
        <w:t>Financial Overview – Three and Six Months Ended June 30, 2025 (in thousands)</w:t>
      </w:r>
    </w:p>
    <w:p>
      <w:pPr>
        <w:pStyle w:val="TextBody"/>
        <w:bidi w:val="0"/>
        <w:spacing w:before="200" w:after="283"/>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pPr>
      <w:r>
        <w:rPr/>
        <w:t> </w:t>
      </w:r>
    </w:p>
    <w:tbl>
      <w:tblPr>
        <w:tblW w:w="18046" w:type="dxa"/>
        <w:jc w:val="left"/>
        <w:tblInd w:w="0" w:type="dxa"/>
        <w:tblLayout w:type="fixed"/>
        <w:tblCellMar>
          <w:top w:w="28" w:type="dxa"/>
          <w:left w:w="28" w:type="dxa"/>
          <w:bottom w:w="28" w:type="dxa"/>
          <w:right w:w="28" w:type="dxa"/>
        </w:tblCellMar>
      </w:tblPr>
      <w:tblGrid>
        <w:gridCol w:w="1511"/>
        <w:gridCol w:w="196"/>
        <w:gridCol w:w="661"/>
        <w:gridCol w:w="566"/>
        <w:gridCol w:w="546"/>
        <w:gridCol w:w="196"/>
        <w:gridCol w:w="571"/>
        <w:gridCol w:w="566"/>
        <w:gridCol w:w="546"/>
        <w:gridCol w:w="207"/>
        <w:gridCol w:w="604"/>
        <w:gridCol w:w="566"/>
        <w:gridCol w:w="546"/>
        <w:gridCol w:w="186"/>
        <w:gridCol w:w="730"/>
        <w:gridCol w:w="546"/>
        <w:gridCol w:w="716"/>
        <w:gridCol w:w="546"/>
        <w:gridCol w:w="196"/>
        <w:gridCol w:w="661"/>
        <w:gridCol w:w="566"/>
        <w:gridCol w:w="546"/>
        <w:gridCol w:w="196"/>
        <w:gridCol w:w="571"/>
        <w:gridCol w:w="566"/>
        <w:gridCol w:w="546"/>
        <w:gridCol w:w="196"/>
        <w:gridCol w:w="661"/>
        <w:gridCol w:w="566"/>
        <w:gridCol w:w="546"/>
        <w:gridCol w:w="186"/>
        <w:gridCol w:w="730"/>
        <w:gridCol w:w="546"/>
        <w:gridCol w:w="761"/>
      </w:tblGrid>
      <w:tr>
        <w:trPr/>
        <w:tc>
          <w:tcPr>
            <w:tcW w:w="1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expenses:</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Research and development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11,804</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5,003</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General and administrative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8,121</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15,550</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(8,121</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(23,130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segment items</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w:t>
            </w:r>
          </w:p>
        </w:tc>
        <w:tc>
          <w:tcPr>
            <w:tcW w:w="5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Other income (expense),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color w:val="000000"/>
              </w:rPr>
            </w:pPr>
            <w:r>
              <w:rPr>
                <w:color w:val="000000"/>
              </w:rPr>
              <w:t> </w:t>
            </w:r>
            <w:r>
              <w:rPr>
                <w:rFonts w:ascii="Times New Roman" w:hAnsi="Times New Roman"/>
                <w:color w:val="000000"/>
                <w:sz w:val="18"/>
              </w:rPr>
              <w:t>%</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(10,847</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(3,575</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(7,272</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(21,255</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(7,374</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(13,881</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expenses include, but are not limited to, (i) expenses incurred under agreements with CROs and investigative sites, which conduct a substantial portion of our pre-clinical and clinical studies; (ii) the cost of supplying clinical trial materials; (iii) payments to CROs and consultants; (iv) employee-related expenses, including salaries, non-cash stock compensation expense, and benefits; and (v) facilities, depreciation and other allocated expenses, including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and six months ended June 30, 2025 and 2024 are as follows (in thousands):</w:t>
      </w:r>
    </w:p>
    <w:p>
      <w:pPr>
        <w:pStyle w:val="TextBody"/>
        <w:bidi w:val="0"/>
        <w:spacing w:before="200" w:after="283"/>
        <w:jc w:val="both"/>
        <w:rPr/>
      </w:pPr>
      <w:r>
        <w:rPr/>
        <w:t> </w:t>
      </w:r>
    </w:p>
    <w:p>
      <w:pPr>
        <w:pStyle w:val="TextBody"/>
        <w:bidi w:val="0"/>
        <w:jc w:val="both"/>
        <w:rPr/>
      </w:pPr>
      <w:r>
        <w:rPr/>
        <w:t> </w:t>
      </w:r>
    </w:p>
    <w:tbl>
      <w:tblPr>
        <w:tblW w:w="10372" w:type="dxa"/>
        <w:jc w:val="left"/>
        <w:tblInd w:w="0" w:type="dxa"/>
        <w:tblLayout w:type="fixed"/>
        <w:tblCellMar>
          <w:top w:w="28" w:type="dxa"/>
          <w:left w:w="28" w:type="dxa"/>
          <w:bottom w:w="28" w:type="dxa"/>
          <w:right w:w="28" w:type="dxa"/>
        </w:tblCellMar>
      </w:tblPr>
      <w:tblGrid>
        <w:gridCol w:w="1081"/>
        <w:gridCol w:w="146"/>
        <w:gridCol w:w="196"/>
        <w:gridCol w:w="511"/>
        <w:gridCol w:w="146"/>
        <w:gridCol w:w="146"/>
        <w:gridCol w:w="196"/>
        <w:gridCol w:w="511"/>
        <w:gridCol w:w="146"/>
        <w:gridCol w:w="146"/>
        <w:gridCol w:w="224"/>
        <w:gridCol w:w="587"/>
        <w:gridCol w:w="146"/>
        <w:gridCol w:w="146"/>
        <w:gridCol w:w="190"/>
        <w:gridCol w:w="726"/>
        <w:gridCol w:w="146"/>
        <w:gridCol w:w="241"/>
        <w:gridCol w:w="146"/>
        <w:gridCol w:w="146"/>
        <w:gridCol w:w="196"/>
        <w:gridCol w:w="511"/>
        <w:gridCol w:w="146"/>
        <w:gridCol w:w="146"/>
        <w:gridCol w:w="196"/>
        <w:gridCol w:w="511"/>
        <w:gridCol w:w="146"/>
        <w:gridCol w:w="146"/>
        <w:gridCol w:w="224"/>
        <w:gridCol w:w="587"/>
        <w:gridCol w:w="146"/>
        <w:gridCol w:w="146"/>
        <w:gridCol w:w="218"/>
        <w:gridCol w:w="698"/>
        <w:gridCol w:w="146"/>
        <w:gridCol w:w="28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Clinical and preclinical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Clinical and preclinical development costs increased $2.4 million and $4.3 million for the three and six months ended June 30, 2025, respectively, as compared to the same periods in the prior year. Clinical and preclinical development costs for the three and six months ended June 30, 2025 consists primarily of expenses associated with our ongoing Phase 3 LEVEL trial and our second global Phase 3 study, LEVEL-2, for which we have begun preliminary work, compared with costs for the three and six month periods ended June 30, 2024, associated with the planning of LEVEL and the initiation of the first LEVEL sites and enrollment of the first LEVEL patients.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Salary and benefits costs increased for the three and six months ended June 30, 2025 as compared to the same periods in the prior year primarily due to higher salaries and additional performance-based compensation expense as a result of an increase in the number of employees. Non-cash stock-based compensation expense increased by $1.0 million and $1.7 million for the three and six months ended June 30, 2025, respectively, as compared to the same periods in 2024 primarily due to stock options granted in December 2024, for which the expense is being amortized over a one year vesting period, in addition to new option grants made in January and May 2025 to new and existing employees that vest and are being expensed over four years.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costs increased for the three and six months ended June 30, 2025 as compared to the same periods in the prior year, primarily due to increased regulatory consulting costs as we expanded our ongoing Phase 3 LEVEL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compensation for executive, finance, legal and administrative personnel, including non-cash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and six months ended June 30, 2025 and 2024 are as follows (in thousands):</w:t>
      </w:r>
    </w:p>
    <w:p>
      <w:pPr>
        <w:pStyle w:val="TextBody"/>
        <w:bidi w:val="0"/>
        <w:jc w:val="both"/>
        <w:rPr/>
      </w:pPr>
      <w:r>
        <w:rPr/>
        <w:t> </w:t>
      </w:r>
    </w:p>
    <w:tbl>
      <w:tblPr>
        <w:tblW w:w="10237" w:type="dxa"/>
        <w:jc w:val="left"/>
        <w:tblInd w:w="0" w:type="dxa"/>
        <w:tblLayout w:type="fixed"/>
        <w:tblCellMar>
          <w:top w:w="28" w:type="dxa"/>
          <w:left w:w="28" w:type="dxa"/>
          <w:bottom w:w="28" w:type="dxa"/>
          <w:right w:w="28" w:type="dxa"/>
        </w:tblCellMar>
      </w:tblPr>
      <w:tblGrid>
        <w:gridCol w:w="1081"/>
        <w:gridCol w:w="146"/>
        <w:gridCol w:w="196"/>
        <w:gridCol w:w="511"/>
        <w:gridCol w:w="146"/>
        <w:gridCol w:w="146"/>
        <w:gridCol w:w="196"/>
        <w:gridCol w:w="376"/>
        <w:gridCol w:w="146"/>
        <w:gridCol w:w="146"/>
        <w:gridCol w:w="224"/>
        <w:gridCol w:w="587"/>
        <w:gridCol w:w="146"/>
        <w:gridCol w:w="146"/>
        <w:gridCol w:w="190"/>
        <w:gridCol w:w="726"/>
        <w:gridCol w:w="146"/>
        <w:gridCol w:w="241"/>
        <w:gridCol w:w="146"/>
        <w:gridCol w:w="146"/>
        <w:gridCol w:w="196"/>
        <w:gridCol w:w="511"/>
        <w:gridCol w:w="146"/>
        <w:gridCol w:w="146"/>
        <w:gridCol w:w="196"/>
        <w:gridCol w:w="511"/>
        <w:gridCol w:w="146"/>
        <w:gridCol w:w="146"/>
        <w:gridCol w:w="224"/>
        <w:gridCol w:w="587"/>
        <w:gridCol w:w="146"/>
        <w:gridCol w:w="146"/>
        <w:gridCol w:w="190"/>
        <w:gridCol w:w="726"/>
        <w:gridCol w:w="146"/>
        <w:gridCol w:w="28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(Decrease)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Salary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Salary and benefits increased for the three and six months ended June 30, 2025 as compared to the same periods in 2024 due to increased salaries and related compensation. Non-cash stock-based compensation expense increased $3.6 million and $6.9 million for the three and six months ended June 30, 2025, respectively, as compared to the same periods in 2024 primarily due to stock options granted in December 2024, for which the expense amortizes over a one year vesting term, in addition to new option grants made in May 2025 that vest and are being expensed over four years.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Legal fees consist of the cost of our legal counsel as well as legal costs related to our intellectual property. Professional fees consist of the costs incurred for accounting fees, capital market expenses, consulting fees and investor relations services, as well as fees paid to the members of our Board of Directors. Legal and professional fees increased $0.4 million and $1.3 million for the three and six month periods ended June 30, 2025, respectively, as compared to the same periods in the prior year primarily related to increased capital market expenses, consulting expenses, and accounting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costs include expenses incurred for franchise and other taxes, travel, supplies, insurance, depreciation, and other miscellaneous charges. Other costs increased $0.1 million and $0.5 million for the three and six months ended June 30, 2025, respectively, as compared to the same periods in the prior year primarily due to increased franchise and other taxes, travel, and insurance related to the growth of the Company.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Income, Interest Expense, and Other Income (Expense),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increased $1.7 million primarily related to higher interest income on increased cash deposits as a result of the August 2024 Offering and the March 2025 Offering. The company had no interest expense for the six months ended June 30, 2025 and an immaterial amount for the six months ended June 30,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Capital Resources and Plan of Operation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incurred losses since our inception and, as of June 30, 2025, we had an accumulated deficit of $336.1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over the long term, imatinib for PAH, and other potential indications, as well as identifying and developing other potential product candidates, and as a result, we will need to generate significant net product sales, royalty and other revenues to achieve profitability.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of conducting preclinical studies and clinical trials necessary to obtain approval from the United States Food and Drug Administration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and have prioritized levosimendan; however, we will need substantial additional capital in the future in order to finalize the development of levosimendan, commence its commercialization, potentially develop imatinib, and to continue with the development of other potential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financed our operations since September 1990 through the issuance of debt and equity securities and loans from stockholders. We had total current assets of $105.9 million and $96.7 million and working capital of $103.3 million and $92.0 million as of June 30, 2025 and December 31, 2024, respectively. Our practice is to invest excess cash, where available, in short-term money market investment instruments and high quality corporate and government bonds.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currently conducting the LEVEL trial and intend to recruit patients concluding in approximately the first half of 2026. Our ability to continue to pursue development of our products, including completion of the second global Phase 3 trial (LEVEL-2), beyond 2027, will depend on obtaining license income, income from warrants exercised by investors should they elect to do so, or outside financial resources. There is no assurance that we will obtain any license agreement or outside financing or that we will otherwise succeed in obtaining any necessary resources.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5, 2025, we sold in the March 2025 Offering an aggregate of 378,346 shares of our common stock and pre-funded warrants to purchase an aggregate of 3,760,726 shares of our common stock at an offering price of $6.04 per share of common stock and $6.03 per pre-funded warrant, resulting in gross proceeds of $25.0 million. The pre-funded warrants do not expire and have an exercise price of $0.01. Net proceeds from the offering were $23.2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8, 2024, we sold in the August 2024 Offering an aggregate of 1,450,661 shares of our common stock, and pre-funded warrants to purchase 31,882,671 shares of our common stock, along with accompanying warrants to purchase up to 16,666,666 shares of our common stock. The purchase price for each share and accompanying warrant was $3.00, with the accompanying warrant having an exercise price of $4.50 (provided, the purchase price for each pre-funded warrant and accompanying warrant was $2.99, with the pre-funded warrants having an exercise price of $0.01). Net proceeds from the offering were $92.3 million, after deducting the placement agent fees and offering expenses payable by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8, 2024, we sold in a registered public offering (the “February 2024 Offering”) (i) an aggregate of 421,260 shares of our common stock and pre-funded warrants to purchase an aggregate of 1,178,740 shares of our common stock and (ii) accompanying warrants to purchase up to an aggregate of 3,200,000 shares of our common stock at a combined offering price of $5.65 per share of common stock and accompanying warrant, or $5.649 per pre-funded warrant and accompanying warrant. Net proceeds of the offering were $8.0 million, after deducting the placement agent fees and offering expenses payable by the Company.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shows a summary of our cash flows for the periods indicated (in thousands):</w:t>
      </w:r>
    </w:p>
    <w:p>
      <w:pPr>
        <w:pStyle w:val="TextBody"/>
        <w:bidi w:val="0"/>
        <w:jc w:val="both"/>
        <w:rPr/>
      </w:pPr>
      <w:r>
        <w:rPr/>
        <w:t> </w:t>
      </w:r>
    </w:p>
    <w:tbl>
      <w:tblPr>
        <w:tblW w:w="6345" w:type="dxa"/>
        <w:jc w:val="left"/>
        <w:tblInd w:w="0" w:type="dxa"/>
        <w:tblLayout w:type="fixed"/>
        <w:tblCellMar>
          <w:top w:w="28" w:type="dxa"/>
          <w:left w:w="28" w:type="dxa"/>
          <w:bottom w:w="28" w:type="dxa"/>
          <w:right w:w="28" w:type="dxa"/>
        </w:tblCellMar>
      </w:tblPr>
      <w:tblGrid>
        <w:gridCol w:w="3566"/>
        <w:gridCol w:w="146"/>
        <w:gridCol w:w="233"/>
        <w:gridCol w:w="814"/>
        <w:gridCol w:w="183"/>
        <w:gridCol w:w="161"/>
        <w:gridCol w:w="233"/>
        <w:gridCol w:w="698"/>
        <w:gridCol w:w="311"/>
      </w:tblGrid>
      <w:tr>
        <w:trPr/>
        <w:tc>
          <w:tcPr>
            <w:tcW w:w="3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(13,230</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was $13.2 million for the six months ended June 30, 2025, compared to $8.2 million for the six months ended June 30, 2024. The increase in cash used in operating activities was primarily due to increased study expense activity as we expanded our clinical trials and increased payroll costs. The increase in payroll costs was primarily driven by the addition of new employees and targeted salary adjustments, reflecting a necessary investment to support our expanded clinical trial activity during the six months ended June 30, 2025 as compared to the prior year.</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was no net cash provided or consumed by investing activities for the six months ended June 30, 2025 or the six months ended June 30, 2024.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$23.8 million for the six months ended June 30, 2025, compared to $7.8 million for the six months ended June 30, 2024. The increase during the six months ended June 30, 2025 was due to the $23.2 million net cash provided from the sale of common stock and pre-funded warrants in the March 2025 Offering and $0.6 million from the exercise of warrants and pre-funded warrants as compared to $8.0 million net cash provided from the sale of common stock, pre-funded warrants and warrants in the February 2024 Offering, offset by the principal payment of $0.2 million related to a short-term note, during the six months ended June 30, 2024.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Operating Capital and Capital Expenditure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that include, but are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design, footprint, progress, timing and completion of clinical trials for our product candidates and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and the regulatory approval process;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that may be caused by changing regulatory requirements and resource levels at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product candidates we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involved in filing and prosecuting patent applications and enforcing and defending patent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terms of future collaboration, licensing, consulting or other arrangements that we may enter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establishing sales, marketing, manufacturing and distribution capabilities;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procuring clinical and commercial supplies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or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possible costs of litigation.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working capital on June 30, 2025, we believe we have sufficient capital on hand to fund operations through 2027.</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Critical Accounting Policies and Significant Judgments and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2024 and Note 2 to our unaudited condensed consolidated financial statements included in Part I, Item 1 of this Quarterly Report on Form 10-Q.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not engaged in any off-balance sheet arrangements, including the use of structured finance, special purpose entities or variable interest entities.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b/>
          <w:color w:val="000000"/>
          <w:sz w:val="20"/>
        </w:rPr>
      </w:pPr>
      <w:bookmarkStart w:id="11" w:name="item_3_quantitative_and_qualitative"/>
      <w:bookmarkEnd w:id="11"/>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Smaller reporting companies are not required to provide the information required by this item.</w:t>
      </w:r>
    </w:p>
    <w:p>
      <w:pPr>
        <w:pStyle w:val="TextBody"/>
        <w:bidi w:val="0"/>
        <w:spacing w:before="200" w:after="283"/>
        <w:jc w:val="both"/>
        <w:rPr>
          <w:rFonts w:ascii="Times New Roman" w:hAnsi="Times New Roman"/>
          <w:b/>
          <w:color w:val="000000"/>
          <w:sz w:val="20"/>
        </w:rPr>
      </w:pPr>
      <w:bookmarkStart w:id="12" w:name="item_4_controls_and_procedures"/>
      <w:bookmarkEnd w:id="12"/>
      <w:r>
        <w:rPr>
          <w:rFonts w:ascii="Times New Roman" w:hAnsi="Times New Roman"/>
          <w:b/>
          <w:color w:val="000000"/>
          <w:sz w:val="20"/>
        </w:rPr>
        <w:t>ITEM 4. CONTROLS AND PROCEDURES</w:t>
      </w:r>
    </w:p>
    <w:p>
      <w:pPr>
        <w:pStyle w:val="TextBody"/>
        <w:bidi w:val="0"/>
        <w:spacing w:before="200" w:after="283"/>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their evaluation, our President and Chief Executive Officer and Interim Chief Financial Officer concluded that our disclosure controls and procedures were effective as of June 30, 2025,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most recently completed fiscal quarter, management reviewed all work generated in support of the financial statements and corresponding footnotes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3" w:name="part_ii_other_information"/>
      <w:bookmarkEnd w:id="13"/>
      <w:r>
        <w:rPr>
          <w:rFonts w:ascii="Times New Roman" w:hAnsi="Times New Roman"/>
          <w:b/>
          <w:color w:val="000000"/>
          <w:sz w:val="20"/>
        </w:rPr>
        <w:t>PART II – OTHER INFORMATION</w:t>
      </w:r>
    </w:p>
    <w:p>
      <w:pPr>
        <w:pStyle w:val="TextBody"/>
        <w:bidi w:val="0"/>
        <w:jc w:val="both"/>
        <w:rPr>
          <w:rFonts w:ascii="Times New Roman" w:hAnsi="Times New Roman"/>
          <w:b/>
          <w:color w:val="000000"/>
          <w:sz w:val="20"/>
        </w:rPr>
      </w:pPr>
      <w:bookmarkStart w:id="14" w:name="item_1_legal_proceedings"/>
      <w:bookmarkEnd w:id="14"/>
      <w:r>
        <w:rPr>
          <w:rFonts w:ascii="Times New Roman" w:hAnsi="Times New Roman"/>
          <w:b/>
          <w:color w:val="000000"/>
          <w:sz w:val="20"/>
        </w:rPr>
        <w:t>ITEM 1. LEGAL PROCEEDINGS</w:t>
      </w:r>
    </w:p>
    <w:p>
      <w:pPr>
        <w:pStyle w:val="TextBody"/>
        <w:bidi w:val="0"/>
        <w:jc w:val="both"/>
        <w:rPr>
          <w:rFonts w:ascii="Times New Roman" w:hAnsi="Times New Roman"/>
          <w:color w:val="000000"/>
          <w:sz w:val="20"/>
        </w:rPr>
      </w:pPr>
      <w:r>
        <w:rPr>
          <w:rFonts w:ascii="Times New Roman" w:hAnsi="Times New Roman"/>
          <w:color w:val="000000"/>
          <w:sz w:val="20"/>
        </w:rPr>
        <w:t>There are no material pending legal proceedings to which we are a party or to which any of our property is subject.</w:t>
      </w:r>
    </w:p>
    <w:p>
      <w:pPr>
        <w:pStyle w:val="TextBody"/>
        <w:bidi w:val="0"/>
        <w:jc w:val="both"/>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jc w:val="both"/>
        <w:rPr>
          <w:rFonts w:ascii="Times New Roman" w:hAnsi="Times New Roman"/>
          <w:color w:val="000000"/>
          <w:sz w:val="20"/>
        </w:rPr>
      </w:pPr>
      <w:r>
        <w:rPr>
          <w:rFonts w:ascii="Times New Roman" w:hAnsi="Times New Roman"/>
          <w:color w:val="000000"/>
          <w:sz w:val="20"/>
        </w:rPr>
        <w:t>The risks we face have not materially changed from those disclosed in our Annual Report on Form 10-K for the year ended December 31,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16" w:name="item_6_exhibits"/>
      <w:bookmarkEnd w:id="16"/>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exhibits are being filed or furnished as part of this Quarterly Report on Form 10-Q and are numbered in accordance with Item 601 of Regulation S-K: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000FF"/>
                  <w:sz w:val="20"/>
                  <w:u w:val="single"/>
                </w:rPr>
                <w:t>3.1</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248" w:type="dxa"/>
            <w:tcBorders/>
            <w:shd w:fill="CFF0FC"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Certificate of Incorporation (incorporated by reference to Exhibit 3.2 to the Company’s Form 8-K filed with the SEC on June 17, 2025).</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1_1.htm">
              <w:r>
                <w:rPr>
                  <w:rStyle w:val="InternetLink"/>
                  <w:rFonts w:ascii="Times New Roman" w:hAnsi="Times New Roman"/>
                  <w:color w:val="0000FF"/>
                  <w:sz w:val="20"/>
                  <w:u w:val="single"/>
                </w:rPr>
                <w:t>Certification of President and Chief Executive Officer pursuant to Section 302 of the Sarbanes Oxley Act of 2002.</w:t>
              </w:r>
            </w:hyperlink>
            <w:hyperlink w:anchor="tennx-ex31_1.htm">
              <w:r>
                <w:rPr>
                  <w:rStyle w:val="InternetLink"/>
                  <w:rFonts w:ascii="Times New Roman" w:hAnsi="Times New Roman"/>
                  <w:color w:val="0000FF"/>
                  <w:sz w:val="20"/>
                </w:rPr>
                <w:t xml:space="preserve"> </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31.2*</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1_2.htm">
              <w:r>
                <w:rPr>
                  <w:rStyle w:val="InternetLink"/>
                  <w:rFonts w:ascii="Times New Roman" w:hAnsi="Times New Roman"/>
                  <w:color w:val="0000FF"/>
                  <w:sz w:val="20"/>
                  <w:u w:val="single"/>
                </w:rPr>
                <w:t>Certification of Interim Chief Financial Officer pursuant to Section 302 of the Sarbanes Oxley Act of 2002.</w:t>
              </w:r>
            </w:hyperlink>
            <w:hyperlink w:anchor="tennx-ex31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pPr>
            <w:hyperlink w:anchor="tennx-ex32_1.htm">
              <w:r>
                <w:rPr>
                  <w:rStyle w:val="InternetLink"/>
                  <w:rFonts w:ascii="Times New Roman" w:hAnsi="Times New Roman"/>
                  <w:color w:val="0000FF"/>
                  <w:sz w:val="20"/>
                  <w:u w:val="single"/>
                </w:rPr>
                <w:t>Certification of President and Chief Executive Officer pursuant to 18 U.S.C. Section 1350, as adopted pursuant to Section 906 of the Sarbanes-Oxley Act of 2002.</w:t>
              </w:r>
            </w:hyperlink>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32.2**</w:t>
              </w:r>
            </w:hyperlink>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pPr>
            <w:hyperlink w:anchor="tennx-ex32_2.htm">
              <w:r>
                <w:rPr>
                  <w:rStyle w:val="InternetLink"/>
                  <w:rFonts w:ascii="Times New Roman" w:hAnsi="Times New Roman"/>
                  <w:color w:val="0000FF"/>
                  <w:sz w:val="20"/>
                  <w:u w:val="single"/>
                </w:rPr>
                <w:t>Certification of Interim Chief Financial Officer pursuant to 18 U.S.C. Section 1350, as adopted pursuant to Section 906 of the Sarbanes-Oxley Act of 2002.</w:t>
              </w:r>
            </w:hyperlink>
            <w:hyperlink w:anchor="tennx-ex32_2.htm">
              <w:r>
                <w:rPr>
                  <w:rStyle w:val="InternetLink"/>
                  <w:rFonts w:ascii="Times New Roman" w:hAnsi="Times New Roman"/>
                  <w:color w:val="0000FF"/>
                  <w:sz w:val="20"/>
                </w:rPr>
                <w:t xml:space="preserve"> </w:t>
              </w:r>
            </w:hyperlink>
          </w:p>
        </w:tc>
      </w:tr>
      <w:tr>
        <w:trPr/>
        <w:tc>
          <w:tcPr>
            <w:tcW w:w="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Document Set for the condensed consolidated financial statements and accompanying notes in Part I, Item 1, “Financial Statements” of this Quarterly Report on Form 10-Q.</w:t>
            </w:r>
          </w:p>
        </w:tc>
      </w:tr>
      <w:tr>
        <w:trPr/>
        <w:tc>
          <w:tcPr>
            <w:tcW w:w="81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8"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r>
    </w:tbl>
    <w:p>
      <w:pPr>
        <w:pStyle w:val="TextBody"/>
        <w:bidi w:val="0"/>
        <w:jc w:val="both"/>
        <w:rPr>
          <w:rFonts w:ascii="Times New Roman" w:hAnsi="Times New Roman"/>
          <w:color w:val="000000"/>
          <w:sz w:val="20"/>
        </w:rPr>
      </w:pPr>
      <w:r>
        <w:rPr>
          <w:rFonts w:ascii="Times New Roman" w:hAnsi="Times New Roman"/>
          <w:color w:val="000000"/>
          <w:sz w:val="20"/>
        </w:rPr>
        <w:t>* Filed herewith</w:t>
      </w:r>
    </w:p>
    <w:p>
      <w:pPr>
        <w:pStyle w:val="TextBody"/>
        <w:bidi w:val="0"/>
        <w:jc w:val="both"/>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17" w:name="signatures"/>
      <w:bookmarkEnd w:id="17"/>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August 13, 2025</w:t>
      </w:r>
    </w:p>
    <w:p>
      <w:pPr>
        <w:pStyle w:val="TextBody"/>
        <w:bidi w:val="0"/>
        <w:jc w:val="both"/>
        <w:rPr/>
      </w:pPr>
      <w:r>
        <w:rPr/>
        <w:t> </w:t>
      </w:r>
    </w:p>
    <w:tbl>
      <w:tblPr>
        <w:tblW w:w="7869" w:type="dxa"/>
        <w:jc w:val="left"/>
        <w:tblInd w:w="0" w:type="dxa"/>
        <w:tblLayout w:type="fixed"/>
        <w:tblCellMar>
          <w:top w:w="28" w:type="dxa"/>
          <w:left w:w="28" w:type="dxa"/>
          <w:bottom w:w="28" w:type="dxa"/>
          <w:right w:w="28" w:type="dxa"/>
        </w:tblCellMar>
      </w:tblPr>
      <w:tblGrid>
        <w:gridCol w:w="161"/>
        <w:gridCol w:w="406"/>
        <w:gridCol w:w="71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TENAX THERAPEUTICS, INC.</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111" w:type="dxa"/>
            <w:tcBorders>
              <w:bottom w:val="single" w:sz="6"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Thomas A. McGauley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Interim Chief Financial Officer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behalf of the Registrant and as Principal Financial Officer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tennx-ex31_1.htm"/>
      <w:bookmarkStart w:id="19" w:name="kstennxex31_1"/>
      <w:bookmarkEnd w:id="18"/>
      <w:bookmarkEnd w:id="19"/>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Christopher T. Giordano,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192" w:type="dxa"/>
        <w:jc w:val="left"/>
        <w:tblInd w:w="0" w:type="dxa"/>
        <w:tblLayout w:type="fixed"/>
        <w:tblCellMar>
          <w:top w:w="28" w:type="dxa"/>
          <w:left w:w="28" w:type="dxa"/>
          <w:bottom w:w="28" w:type="dxa"/>
          <w:right w:w="28" w:type="dxa"/>
        </w:tblCellMar>
      </w:tblPr>
      <w:tblGrid>
        <w:gridCol w:w="1951"/>
        <w:gridCol w:w="3241"/>
      </w:tblGrid>
      <w:tr>
        <w:trPr/>
        <w:tc>
          <w:tcPr>
            <w:tcW w:w="195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13, 2025</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tennx-ex31_2.htm"/>
      <w:bookmarkStart w:id="21" w:name="kstennxex31_2"/>
      <w:bookmarkEnd w:id="20"/>
      <w:bookmarkEnd w:id="21"/>
      <w:r>
        <w:rPr>
          <w:rFonts w:ascii="Times New Roman" w:hAnsi="Times New Roman"/>
          <w:b/>
          <w:color w:val="000000"/>
          <w:sz w:val="20"/>
        </w:rPr>
        <w:t>EXHIBIT 31.2</w:t>
      </w:r>
      <w:r>
        <w:br w:type="page"/>
      </w:r>
    </w:p>
    <w:p>
      <w:pPr>
        <w:pStyle w:val="TextBody"/>
        <w:bidi w:val="0"/>
        <w:spacing w:before="20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Thomas A. McGauley,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10-Q of Tenax Therapeutics,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4817" w:type="dxa"/>
        <w:jc w:val="left"/>
        <w:tblInd w:w="0" w:type="dxa"/>
        <w:tblLayout w:type="fixed"/>
        <w:tblCellMar>
          <w:top w:w="28" w:type="dxa"/>
          <w:left w:w="28" w:type="dxa"/>
          <w:bottom w:w="28" w:type="dxa"/>
          <w:right w:w="28" w:type="dxa"/>
        </w:tblCellMar>
      </w:tblPr>
      <w:tblGrid>
        <w:gridCol w:w="1951"/>
        <w:gridCol w:w="2866"/>
      </w:tblGrid>
      <w:tr>
        <w:trPr/>
        <w:tc>
          <w:tcPr>
            <w:tcW w:w="195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13, 2025</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i/>
                <w:color w:val="000000"/>
                <w:sz w:val="20"/>
              </w:rPr>
              <w:t>Interim Chief Financial Officer</w:t>
            </w:r>
            <w:r>
              <w:rPr>
                <w:rFonts w:ascii="Times New Roman" w:hAnsi="Times New Roman"/>
                <w:color w:val="000000"/>
                <w:sz w:val="20"/>
              </w:rPr>
              <w:t xml:space="preserve"> </w:t>
            </w:r>
          </w:p>
          <w:p>
            <w:pPr>
              <w:pStyle w:val="TableContents"/>
              <w:bidi w:val="0"/>
              <w:jc w:val="left"/>
              <w:rPr>
                <w:rFonts w:ascii="Times New Roman" w:hAnsi="Times New Roman"/>
                <w:sz w:val="20"/>
              </w:rPr>
            </w:pPr>
            <w:r>
              <w:rPr>
                <w:rFonts w:ascii="Times New Roman" w:hAnsi="Times New Roman"/>
                <w:i/>
                <w:color w:val="000000"/>
                <w:sz w:val="20"/>
              </w:rPr>
              <w:t>(Principal Financial Officer and</w:t>
            </w:r>
            <w:r>
              <w:rPr>
                <w:rFonts w:ascii="Times New Roman" w:hAnsi="Times New Roman"/>
                <w:color w:val="000000"/>
                <w:sz w:val="20"/>
              </w:rPr>
              <w:t xml:space="preserve"> </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Accounting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tennx-ex32_1.htm"/>
      <w:bookmarkStart w:id="23" w:name="kstennxex32_1"/>
      <w:bookmarkEnd w:id="22"/>
      <w:bookmarkEnd w:id="23"/>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June 30, 2025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August 13, 2025</w:t>
      </w:r>
    </w:p>
    <w:p>
      <w:pPr>
        <w:pStyle w:val="TextBody"/>
        <w:bidi w:val="0"/>
        <w:jc w:val="both"/>
        <w:rPr/>
      </w:pPr>
      <w:r>
        <w:rPr/>
        <w:t> </w:t>
      </w:r>
    </w:p>
    <w:tbl>
      <w:tblPr>
        <w:tblW w:w="3694" w:type="dxa"/>
        <w:jc w:val="left"/>
        <w:tblInd w:w="0" w:type="dxa"/>
        <w:tblLayout w:type="fixed"/>
        <w:tblCellMar>
          <w:top w:w="28" w:type="dxa"/>
          <w:left w:w="28" w:type="dxa"/>
          <w:bottom w:w="28" w:type="dxa"/>
          <w:right w:w="28" w:type="dxa"/>
        </w:tblCellMar>
      </w:tblPr>
      <w:tblGrid>
        <w:gridCol w:w="161"/>
        <w:gridCol w:w="146"/>
        <w:gridCol w:w="31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Christopher T. Giordano</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T. Giordano</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9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President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tennx-ex32_2.htm"/>
      <w:bookmarkStart w:id="25" w:name="kstennxex32_2"/>
      <w:bookmarkEnd w:id="24"/>
      <w:bookmarkEnd w:id="25"/>
      <w:r>
        <w:rPr>
          <w:rFonts w:ascii="Times New Roman" w:hAnsi="Times New Roman"/>
          <w:b/>
          <w:color w:val="000000"/>
          <w:sz w:val="20"/>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PURSUANT TO 18 U.S.C. SECTION 1350, AS ADOPTED PURSUANT TO 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of Tenax Therapeutics, Inc. (the “Company”) on Form 10-Q for the period ended June 30, 2025 as filed with the Securities and Exchange Commission on the date hereof (the “Report”), I, Thomas A. McGauley, Interim Chief Financial Officer (Principal Financial and Accounting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 for the periods covered by the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 August 13, 2025</w:t>
      </w:r>
    </w:p>
    <w:p>
      <w:pPr>
        <w:pStyle w:val="TextBody"/>
        <w:bidi w:val="0"/>
        <w:jc w:val="both"/>
        <w:rPr/>
      </w:pPr>
      <w:r>
        <w:rPr/>
        <w:t> </w:t>
      </w:r>
    </w:p>
    <w:tbl>
      <w:tblPr>
        <w:tblW w:w="4828" w:type="dxa"/>
        <w:jc w:val="left"/>
        <w:tblInd w:w="0" w:type="dxa"/>
        <w:tblLayout w:type="fixed"/>
        <w:tblCellMar>
          <w:top w:w="28" w:type="dxa"/>
          <w:left w:w="28" w:type="dxa"/>
          <w:bottom w:w="28" w:type="dxa"/>
          <w:right w:w="28" w:type="dxa"/>
        </w:tblCellMar>
      </w:tblPr>
      <w:tblGrid>
        <w:gridCol w:w="124"/>
        <w:gridCol w:w="109"/>
        <w:gridCol w:w="44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A. McGauley</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A. McGauley</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0"/>
              </w:rPr>
            </w:pPr>
            <w:r>
              <w:rPr>
                <w:rFonts w:ascii="Times New Roman" w:hAnsi="Times New Roman"/>
                <w:i/>
                <w:color w:val="000000"/>
                <w:sz w:val="20"/>
              </w:rPr>
              <w:t>Interim 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 and Accounting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400" w:after="283"/>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4956/000165495425007104/tennx_ex32.htm" TargetMode="External"/><Relationship Id="rId3" Type="http://schemas.openxmlformats.org/officeDocument/2006/relationships/hyperlink" Target="https://www.sec.gov/Archives/edgar/data/34956/000165495425007104/tennx_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12069</Words>
  <Characters>65150</Characters>
  <CharactersWithSpaces>77854</CharactersWithSpaces>
  <Paragraphs>3257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