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Tenax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001-34600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26-2593535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4224"/>
        <w:spacing w:after="0"/>
        <w:rPr>
          <w:sz w:val="20"/>
          <w:szCs w:val="20"/>
          <w:color w:val="auto"/>
        </w:rPr>
      </w:pPr>
      <w:r>
        <w:rPr>
          <w:rFonts w:ascii="Times New Roman" w:cs="Times New Roman" w:eastAsia="Times New Roman" w:hAnsi="Times New Roman"/>
          <w:sz w:val="18"/>
          <w:szCs w:val="18"/>
          <w:b w:val="1"/>
          <w:bCs w:val="1"/>
          <w:color w:val="auto"/>
        </w:rPr>
        <w:t>101 Glen Lennox Drive, Suite 300</w:t>
      </w:r>
    </w:p>
    <w:p>
      <w:pPr>
        <w:spacing w:after="0" w:line="31"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18"/>
          <w:szCs w:val="18"/>
          <w:b w:val="1"/>
          <w:bCs w:val="1"/>
          <w:color w:val="auto"/>
        </w:rPr>
        <w:t>Chapel Hill, North Carolina 27517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919-855-2100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TENX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June 2, 2026, Tenax Therapeutics, Inc. (the “Company”) held its 2026 annual meeting of stockholders (the “Annual Meeting”). The following proposals were voted upon at the Annual Meeting and the final voting results with respect to each such proposal are set forth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each of the following individuals to the Company’s Board of Directors for a one-year term expiring in 2027, or until his or her successor is duly elected and qualified, by the votes indicated below.</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3080" w:type="dxa"/>
            <w:vAlign w:val="bottom"/>
          </w:tcPr>
          <w:p>
            <w:pPr>
              <w:jc w:val="center"/>
              <w:ind w:left="1932"/>
              <w:spacing w:after="0"/>
              <w:rPr>
                <w:sz w:val="20"/>
                <w:szCs w:val="20"/>
                <w:color w:val="auto"/>
              </w:rPr>
            </w:pPr>
            <w:r>
              <w:rPr>
                <w:rFonts w:ascii="Times New Roman" w:cs="Times New Roman" w:eastAsia="Times New Roman" w:hAnsi="Times New Roman"/>
                <w:sz w:val="14"/>
                <w:szCs w:val="14"/>
                <w:b w:val="1"/>
                <w:bCs w:val="1"/>
                <w:color w:val="auto"/>
              </w:rPr>
              <w:t>For</w:t>
            </w:r>
          </w:p>
        </w:tc>
        <w:tc>
          <w:tcPr>
            <w:tcW w:w="1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26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Almenoff</w:t>
            </w:r>
          </w:p>
        </w:tc>
        <w:tc>
          <w:tcPr>
            <w:tcW w:w="3080" w:type="dxa"/>
            <w:vAlign w:val="bottom"/>
            <w:shd w:val="clear" w:color="auto" w:fill="CCEEFF"/>
          </w:tcPr>
          <w:p>
            <w:pPr>
              <w:jc w:val="center"/>
              <w:ind w:left="1932"/>
              <w:spacing w:after="0"/>
              <w:rPr>
                <w:sz w:val="20"/>
                <w:szCs w:val="20"/>
                <w:color w:val="auto"/>
              </w:rPr>
            </w:pPr>
            <w:r>
              <w:rPr>
                <w:rFonts w:ascii="Times New Roman" w:cs="Times New Roman" w:eastAsia="Times New Roman" w:hAnsi="Times New Roman"/>
                <w:sz w:val="18"/>
                <w:szCs w:val="18"/>
                <w:color w:val="auto"/>
              </w:rPr>
              <w:t>17,362,177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214,449</w:t>
            </w:r>
          </w:p>
        </w:tc>
        <w:tc>
          <w:tcPr>
            <w:tcW w:w="126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3,742,678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Michael Davidson</w:t>
            </w:r>
          </w:p>
        </w:tc>
        <w:tc>
          <w:tcPr>
            <w:tcW w:w="3080" w:type="dxa"/>
            <w:vAlign w:val="bottom"/>
          </w:tcPr>
          <w:p>
            <w:pPr>
              <w:jc w:val="center"/>
              <w:ind w:left="1932"/>
              <w:spacing w:after="0"/>
              <w:rPr>
                <w:sz w:val="20"/>
                <w:szCs w:val="20"/>
                <w:color w:val="auto"/>
              </w:rPr>
            </w:pPr>
            <w:r>
              <w:rPr>
                <w:rFonts w:ascii="Times New Roman" w:cs="Times New Roman" w:eastAsia="Times New Roman" w:hAnsi="Times New Roman"/>
                <w:sz w:val="18"/>
                <w:szCs w:val="18"/>
                <w:color w:val="auto"/>
              </w:rPr>
              <w:t>15,762,162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1,814,464</w:t>
            </w:r>
          </w:p>
        </w:tc>
        <w:tc>
          <w:tcPr>
            <w:tcW w:w="12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3,742,678</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Declan Doogan</w:t>
            </w:r>
          </w:p>
        </w:tc>
        <w:tc>
          <w:tcPr>
            <w:tcW w:w="3080" w:type="dxa"/>
            <w:vAlign w:val="bottom"/>
            <w:shd w:val="clear" w:color="auto" w:fill="CCEEFF"/>
          </w:tcPr>
          <w:p>
            <w:pPr>
              <w:jc w:val="center"/>
              <w:ind w:left="1932"/>
              <w:spacing w:after="0"/>
              <w:rPr>
                <w:sz w:val="20"/>
                <w:szCs w:val="20"/>
                <w:color w:val="auto"/>
              </w:rPr>
            </w:pPr>
            <w:r>
              <w:rPr>
                <w:rFonts w:ascii="Times New Roman" w:cs="Times New Roman" w:eastAsia="Times New Roman" w:hAnsi="Times New Roman"/>
                <w:sz w:val="18"/>
                <w:szCs w:val="18"/>
                <w:color w:val="auto"/>
              </w:rPr>
              <w:t>17,394,626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182,000</w:t>
            </w:r>
          </w:p>
        </w:tc>
        <w:tc>
          <w:tcPr>
            <w:tcW w:w="126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3,742,678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T. Giordano</w:t>
            </w:r>
          </w:p>
        </w:tc>
        <w:tc>
          <w:tcPr>
            <w:tcW w:w="3080" w:type="dxa"/>
            <w:vAlign w:val="bottom"/>
          </w:tcPr>
          <w:p>
            <w:pPr>
              <w:jc w:val="center"/>
              <w:ind w:left="1932"/>
              <w:spacing w:after="0"/>
              <w:rPr>
                <w:sz w:val="20"/>
                <w:szCs w:val="20"/>
                <w:color w:val="auto"/>
              </w:rPr>
            </w:pPr>
            <w:r>
              <w:rPr>
                <w:rFonts w:ascii="Times New Roman" w:cs="Times New Roman" w:eastAsia="Times New Roman" w:hAnsi="Times New Roman"/>
                <w:sz w:val="18"/>
                <w:szCs w:val="18"/>
                <w:color w:val="auto"/>
              </w:rPr>
              <w:t>17,397,265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179,361</w:t>
            </w:r>
          </w:p>
        </w:tc>
        <w:tc>
          <w:tcPr>
            <w:tcW w:w="12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3,742,678</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Robyn M. Hunter</w:t>
            </w:r>
          </w:p>
        </w:tc>
        <w:tc>
          <w:tcPr>
            <w:tcW w:w="3080" w:type="dxa"/>
            <w:vAlign w:val="bottom"/>
            <w:shd w:val="clear" w:color="auto" w:fill="CCEEFF"/>
          </w:tcPr>
          <w:p>
            <w:pPr>
              <w:jc w:val="center"/>
              <w:ind w:left="1932"/>
              <w:spacing w:after="0"/>
              <w:rPr>
                <w:sz w:val="20"/>
                <w:szCs w:val="20"/>
                <w:color w:val="auto"/>
              </w:rPr>
            </w:pPr>
            <w:r>
              <w:rPr>
                <w:rFonts w:ascii="Times New Roman" w:cs="Times New Roman" w:eastAsia="Times New Roman" w:hAnsi="Times New Roman"/>
                <w:sz w:val="18"/>
                <w:szCs w:val="18"/>
                <w:color w:val="auto"/>
              </w:rPr>
              <w:t>17,394,848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181,778</w:t>
            </w:r>
          </w:p>
        </w:tc>
        <w:tc>
          <w:tcPr>
            <w:tcW w:w="126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3,742,678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Gerald T. Proehl</w:t>
            </w:r>
          </w:p>
        </w:tc>
        <w:tc>
          <w:tcPr>
            <w:tcW w:w="3080" w:type="dxa"/>
            <w:vAlign w:val="bottom"/>
          </w:tcPr>
          <w:p>
            <w:pPr>
              <w:jc w:val="center"/>
              <w:ind w:left="1932"/>
              <w:spacing w:after="0"/>
              <w:rPr>
                <w:sz w:val="20"/>
                <w:szCs w:val="20"/>
                <w:color w:val="auto"/>
              </w:rPr>
            </w:pPr>
            <w:r>
              <w:rPr>
                <w:rFonts w:ascii="Times New Roman" w:cs="Times New Roman" w:eastAsia="Times New Roman" w:hAnsi="Times New Roman"/>
                <w:sz w:val="18"/>
                <w:szCs w:val="18"/>
                <w:color w:val="auto"/>
              </w:rPr>
              <w:t>17,393,189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183,437</w:t>
            </w:r>
          </w:p>
        </w:tc>
        <w:tc>
          <w:tcPr>
            <w:tcW w:w="12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3,742,678</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Rich</w:t>
            </w:r>
          </w:p>
        </w:tc>
        <w:tc>
          <w:tcPr>
            <w:tcW w:w="3080" w:type="dxa"/>
            <w:vAlign w:val="bottom"/>
            <w:shd w:val="clear" w:color="auto" w:fill="CCEEFF"/>
          </w:tcPr>
          <w:p>
            <w:pPr>
              <w:jc w:val="center"/>
              <w:ind w:left="1932"/>
              <w:spacing w:after="0"/>
              <w:rPr>
                <w:sz w:val="20"/>
                <w:szCs w:val="20"/>
                <w:color w:val="auto"/>
              </w:rPr>
            </w:pPr>
            <w:r>
              <w:rPr>
                <w:rFonts w:ascii="Times New Roman" w:cs="Times New Roman" w:eastAsia="Times New Roman" w:hAnsi="Times New Roman"/>
                <w:sz w:val="18"/>
                <w:szCs w:val="18"/>
                <w:color w:val="auto"/>
              </w:rPr>
              <w:t>17,397,413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179,213</w:t>
            </w:r>
          </w:p>
        </w:tc>
        <w:tc>
          <w:tcPr>
            <w:tcW w:w="126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3,742,678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Auditor Ratification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Cherry Bekaert LLP as the Company’s independent registered public accounting firm for the year ending December 31, 2026 by the votes indicated below.</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21,304,543</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11,073</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ectPr>
          <w:pgSz w:w="11900" w:h="16838" w:orient="portrait"/>
          <w:cols w:equalWidth="0" w:num="1">
            <w:col w:w="10780"/>
          </w:cols>
          <w:pgMar w:left="440" w:top="293" w:right="6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7"/>
          <w:szCs w:val="17"/>
          <w:b w:val="1"/>
          <w:bCs w:val="1"/>
          <w:color w:val="auto"/>
        </w:rPr>
        <w:t>Tenax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Christopher T. Giordano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2026-06-04T15:17:41Z</dcterms:created>
  <dcterms:modified xsi:type="dcterms:W3CDTF">2026-06-04T15:17:41Z</dcterms:modified>
</cp:coreProperties>
</file>